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58E" w:rsidRDefault="00D8258E" w:rsidP="003C0F9C">
      <w:pPr>
        <w:pStyle w:val="1"/>
      </w:pPr>
      <w:r>
        <w:t>晋城市：</w:t>
      </w:r>
      <w:r w:rsidRPr="00AA3B89">
        <w:rPr>
          <w:rFonts w:hint="eastAsia"/>
        </w:rPr>
        <w:t>践行服务型市场监管理念</w:t>
      </w:r>
      <w:r w:rsidRPr="00AA3B89">
        <w:t xml:space="preserve"> 打造放心安心舒心消费环境</w:t>
      </w:r>
    </w:p>
    <w:p w:rsidR="00D8258E" w:rsidRDefault="00D8258E" w:rsidP="00D8258E">
      <w:pPr>
        <w:ind w:firstLineChars="200" w:firstLine="420"/>
      </w:pPr>
      <w:r>
        <w:t>2023</w:t>
      </w:r>
      <w:r>
        <w:t>年，山西省晋城市市场监管局受理投诉举报</w:t>
      </w:r>
      <w:r>
        <w:t>3.86</w:t>
      </w:r>
      <w:r>
        <w:t>万件，为消费者挽回经济损失</w:t>
      </w:r>
      <w:r>
        <w:t>1178.6</w:t>
      </w:r>
      <w:r>
        <w:t>万元；培育</w:t>
      </w:r>
      <w:r>
        <w:t>ODR</w:t>
      </w:r>
      <w:r>
        <w:t>企业</w:t>
      </w:r>
      <w:r>
        <w:t>914</w:t>
      </w:r>
      <w:r>
        <w:t>家，培育量排名全省第一；开展网络市场监管行动，监测各类电商企业</w:t>
      </w:r>
      <w:r>
        <w:t>3480</w:t>
      </w:r>
      <w:r>
        <w:t>家次，责令整改规范网站</w:t>
      </w:r>
      <w:r>
        <w:t>161</w:t>
      </w:r>
      <w:r>
        <w:t>家；发布包容免罚清单</w:t>
      </w:r>
      <w:r>
        <w:t>148</w:t>
      </w:r>
      <w:r>
        <w:t>项，办理包容免罚案件</w:t>
      </w:r>
      <w:r>
        <w:t>782</w:t>
      </w:r>
      <w:r>
        <w:t>起，减免罚没款</w:t>
      </w:r>
      <w:r>
        <w:t>1200</w:t>
      </w:r>
      <w:r>
        <w:t>余万元；组织民生领域案件</w:t>
      </w:r>
      <w:r>
        <w:t>“</w:t>
      </w:r>
      <w:r>
        <w:t>铁拳</w:t>
      </w:r>
      <w:r>
        <w:t>”</w:t>
      </w:r>
      <w:r>
        <w:t>行动，退罚</w:t>
      </w:r>
      <w:r>
        <w:t>405.31</w:t>
      </w:r>
      <w:r>
        <w:t>万元；共办理案件</w:t>
      </w:r>
      <w:r>
        <w:t>3717</w:t>
      </w:r>
      <w:r>
        <w:t>件，同比增长</w:t>
      </w:r>
      <w:r>
        <w:t>68.95%</w:t>
      </w:r>
      <w:r>
        <w:t>；罚没款</w:t>
      </w:r>
      <w:r>
        <w:t>1168.98</w:t>
      </w:r>
      <w:r>
        <w:t>万元，同比下降</w:t>
      </w:r>
      <w:r>
        <w:t>34.9%</w:t>
      </w:r>
      <w:r>
        <w:t>，移送公安机关刑事立案</w:t>
      </w:r>
      <w:r>
        <w:t>21</w:t>
      </w:r>
      <w:r>
        <w:t>件；查处药品类案件</w:t>
      </w:r>
      <w:r>
        <w:t>397</w:t>
      </w:r>
      <w:r>
        <w:t>起，案件移送数量全省第一</w:t>
      </w:r>
      <w:r>
        <w:rPr>
          <w:rFonts w:hint="eastAsia"/>
        </w:rPr>
        <w:t>……晋城市市场监管局始终坚持以人民为中心的发展思想，深入践行“服务型市场监管”理念，加快构建“三基四要五保障”工作布局，全力维护市场秩序，着力打造放心安心舒心消费环境，尽心保护消费者权益，进一步激发消费潜力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高标准优化“三个环境”，暖服务让消费舒心，该局致力于优化营商环境、激发市场活力、提振消费信心。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一是打造便捷高效的营商环境。开展经营主体提升年行动，制定出台</w:t>
      </w:r>
      <w:r>
        <w:t>21</w:t>
      </w:r>
      <w:r>
        <w:t>条措施，全力支持经营主体发展；开展政银企战略合作，为</w:t>
      </w:r>
      <w:r>
        <w:t>1.5</w:t>
      </w:r>
      <w:r>
        <w:t>万户个体工商户发放贷款</w:t>
      </w:r>
      <w:r>
        <w:t>54.11</w:t>
      </w:r>
      <w:r>
        <w:t>亿元；实施</w:t>
      </w:r>
      <w:r>
        <w:t>“</w:t>
      </w:r>
      <w:r>
        <w:t>惠商保</w:t>
      </w:r>
      <w:r>
        <w:t>”</w:t>
      </w:r>
      <w:r>
        <w:t>项目，用真金白银减少商户经营风险，理赔</w:t>
      </w:r>
      <w:r>
        <w:t>832</w:t>
      </w:r>
      <w:r>
        <w:t>户</w:t>
      </w:r>
      <w:r>
        <w:t>521.24</w:t>
      </w:r>
      <w:r>
        <w:t>万元；企业年报公示率连续</w:t>
      </w:r>
      <w:r>
        <w:t>4</w:t>
      </w:r>
      <w:r>
        <w:t>年排名全省第一。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二是打造公平有序的市场竞争环境。该局出台《晋城市强化反垄断深入推进公平竞争政策实施工作方案》，完善公平竞争审查工作规则、审查机制等，建立公平竞争投诉举报处理机制；落实重大政策措施公平竞争会审制度，开展重点领域反垄断反不正当竞争专项执法行动。开展转供电领域违规收费专项整治行动。排查有转供电行为的直供户</w:t>
      </w:r>
      <w:r>
        <w:t>700</w:t>
      </w:r>
      <w:r>
        <w:t>余户，开展转供电提醒告诫会</w:t>
      </w:r>
      <w:r>
        <w:t>8</w:t>
      </w:r>
      <w:r>
        <w:t>次。开展民生领域违规收费专项整治。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三是打造安全放心的消费环境。创新开展“创优消费环境·提振消费信心”主题宣传系列活动，叫响叫靓“放心消费在晋城”品牌。积极引导经营者参与放心消费创建，培育</w:t>
      </w:r>
      <w:r>
        <w:t>144</w:t>
      </w:r>
      <w:r>
        <w:t>家省级放心消费创建示范单位。推进线下无理由退货承诺，覆盖全部县级行政区域。线下维权服务</w:t>
      </w:r>
      <w:r>
        <w:t>“12315</w:t>
      </w:r>
      <w:r>
        <w:t>消费维权服务站</w:t>
      </w:r>
      <w:r>
        <w:t>”</w:t>
      </w:r>
      <w:r>
        <w:t>新增</w:t>
      </w:r>
      <w:r>
        <w:t>128</w:t>
      </w:r>
      <w:r>
        <w:t>家。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高起点夯实“三个监管”，强监管让消费放心。该局狠抓法治监管、信用监管、智慧监管，全面提升监管体系和监管能力现代化水平。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一是筑牢法治监管根本。出台《行政处罚裁量基准适用规则》《行政执法约谈制度》《行政处罚程序若干规定》等制度，推进稽查办案“</w:t>
      </w:r>
      <w:r>
        <w:t>123”</w:t>
      </w:r>
      <w:r>
        <w:t>工作法，探索</w:t>
      </w:r>
      <w:r>
        <w:t>“</w:t>
      </w:r>
      <w:r>
        <w:t>法治监督</w:t>
      </w:r>
      <w:r>
        <w:t>+</w:t>
      </w:r>
      <w:r>
        <w:t>标准化</w:t>
      </w:r>
      <w:r>
        <w:t>”</w:t>
      </w:r>
      <w:r>
        <w:t>模式，扎实推进省级市场监管法治监督标准化试点工作，山西省市场监管局食品案件查办指导中心在晋城挂牌运行。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二是夯实信用监管基础。探索实践跨省“双随机、一公开”监管模式，市局与河南省济源局定期开展对特种设备领域互查工作，有力促进监管工作能力提升。全市“双随机、一公开”监管工作受到国务院的表彰和肯定。强化全市信用修复工作管理，共完成</w:t>
      </w:r>
      <w:r>
        <w:t>33937</w:t>
      </w:r>
      <w:r>
        <w:t>户经营主体信用修复。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三是用好智慧监管手段。将全市</w:t>
      </w:r>
      <w:r>
        <w:t>3</w:t>
      </w:r>
      <w:r>
        <w:t>家食用农产品批发市场开办者和</w:t>
      </w:r>
      <w:r>
        <w:t>224</w:t>
      </w:r>
      <w:r>
        <w:t>家入场经营户纳入全国农批市场食品安全监管信息系统，结合晋城快检监管平台，共同把好食用农产品市场准入关。常态化监督</w:t>
      </w:r>
      <w:r>
        <w:t>21</w:t>
      </w:r>
      <w:r>
        <w:t>家重点食品销售单位每日开展食用农产品入场检测，累计检测农药残留、兽药残留、非法添加项目</w:t>
      </w:r>
      <w:r>
        <w:t>24312</w:t>
      </w:r>
      <w:r>
        <w:t>批次，检出不合格食用农产品</w:t>
      </w:r>
      <w:r>
        <w:t>409</w:t>
      </w:r>
      <w:r>
        <w:t>批次，合格率</w:t>
      </w:r>
      <w:r>
        <w:t>98.3%</w:t>
      </w:r>
      <w:r>
        <w:t>。推动电梯应急处置平台建设。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高水平筑牢“三条底线”，控风险让消费安心。“三品一特”安全监管事关人民群众生命财产安全，事关经济社会发展大局，该局坚决守住安全底线。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一是上好食品药品“安全锁”。落实“四个最严”要求，食品安全连续四年跻身全省第一方阵，通过了国家食品安全示范城市省级初验；全面落实“包保责任”，全市获证食品生产经营主体实现建档率、数据汇聚率、干部包保率、承诺签订率“四个</w:t>
      </w:r>
      <w:r>
        <w:t>100%”</w:t>
      </w:r>
      <w:r>
        <w:t>；大力推进</w:t>
      </w:r>
      <w:r>
        <w:t>“</w:t>
      </w:r>
      <w:r>
        <w:t>明厨亮灶</w:t>
      </w:r>
      <w:r>
        <w:t>”</w:t>
      </w:r>
      <w:r>
        <w:t>智慧监管，校园食品安全监管成效明显，组织</w:t>
      </w:r>
      <w:r>
        <w:t>10</w:t>
      </w:r>
      <w:r>
        <w:t>期</w:t>
      </w:r>
      <w:r>
        <w:t>“</w:t>
      </w:r>
      <w:r>
        <w:t>餐饮安全你我同查</w:t>
      </w:r>
      <w:r>
        <w:t>”</w:t>
      </w:r>
      <w:r>
        <w:t>活动；全市食品安全监督抽检完成</w:t>
      </w:r>
      <w:r>
        <w:t>15008</w:t>
      </w:r>
      <w:r>
        <w:t>批次，完成量全省第一。持续开展药品经营使用单位、网售药品、疫苗监督专项检查，共检查经营使用单位</w:t>
      </w:r>
      <w:r>
        <w:t>1956</w:t>
      </w:r>
      <w:r>
        <w:t>家次、药品网售企业</w:t>
      </w:r>
      <w:r>
        <w:t>161</w:t>
      </w:r>
      <w:r>
        <w:t>家次、疾控机构</w:t>
      </w:r>
      <w:r>
        <w:t>18</w:t>
      </w:r>
      <w:r>
        <w:t>家次、疫苗接</w:t>
      </w:r>
      <w:r>
        <w:rPr>
          <w:rFonts w:hint="eastAsia"/>
        </w:rPr>
        <w:t>种单位</w:t>
      </w:r>
      <w:r>
        <w:t>234</w:t>
      </w:r>
      <w:r>
        <w:t>家次，监督抽检药品</w:t>
      </w:r>
      <w:r>
        <w:t>410</w:t>
      </w:r>
      <w:r>
        <w:t>批次，超额完成省定任务。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二是织密重点工业产品“安全网”。聚焦民生重要商品、“一老一小”等重点领域消费品开展监督抽检，开展燃气用品集中排查整治，开展重点工业产品质量安全隐患排查治理专项行动，对新发（换）证的工业产品生产许可证企业全覆盖例行检查。开展重点产品质量监督抽检</w:t>
      </w:r>
      <w:r>
        <w:t>1062</w:t>
      </w:r>
      <w:r>
        <w:t>批次。</w:t>
      </w:r>
    </w:p>
    <w:p w:rsidR="00D8258E" w:rsidRDefault="00D8258E" w:rsidP="00D8258E">
      <w:pPr>
        <w:ind w:firstLineChars="200" w:firstLine="420"/>
      </w:pPr>
      <w:r>
        <w:rPr>
          <w:rFonts w:hint="eastAsia"/>
        </w:rPr>
        <w:t>三是拧紧特种设备“安全阀”。推动特种设备主体责任落实落细，督促指导特种设备生产单位、使用单位健全责任体系，配齐安全总监、安全员，</w:t>
      </w:r>
      <w:r>
        <w:t>177</w:t>
      </w:r>
      <w:r>
        <w:t>家特种设备生产单位全部落实《主体责任安全承诺》并进行公示；开展特种设备安全生产风险隐患排查整治，以电梯、压力管道、压力容器等为重点，扎实开展大起底、大排查、大整治，落实企业安全主体责任，发现并消除隐患</w:t>
      </w:r>
      <w:r>
        <w:t>614</w:t>
      </w:r>
      <w:r>
        <w:t>条；加强特种设备安全管理工作法治化建设，推动《晋城市电梯安全管理条例》出台，自</w:t>
      </w:r>
      <w:r>
        <w:t>2024</w:t>
      </w:r>
      <w:r>
        <w:t>年</w:t>
      </w:r>
      <w:r>
        <w:t>5</w:t>
      </w:r>
      <w:r>
        <w:t>月</w:t>
      </w:r>
      <w:r>
        <w:t>1</w:t>
      </w:r>
      <w:r>
        <w:t>日起实施。</w:t>
      </w:r>
    </w:p>
    <w:p w:rsidR="00D8258E" w:rsidRPr="00AA3B89" w:rsidRDefault="00D8258E" w:rsidP="00D8258E">
      <w:pPr>
        <w:ind w:firstLineChars="200" w:firstLine="420"/>
        <w:jc w:val="right"/>
      </w:pPr>
      <w:r>
        <w:rPr>
          <w:rFonts w:hint="eastAsia"/>
        </w:rPr>
        <w:t>新浪</w:t>
      </w:r>
      <w:r>
        <w:rPr>
          <w:rFonts w:hint="eastAsia"/>
        </w:rPr>
        <w:t>2024-4-1</w:t>
      </w:r>
    </w:p>
    <w:p w:rsidR="00D8258E" w:rsidRDefault="00D8258E" w:rsidP="00CD356D">
      <w:pPr>
        <w:sectPr w:rsidR="00D8258E" w:rsidSect="00CD35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3C73" w:rsidRDefault="00C43C73"/>
    <w:sectPr w:rsidR="00C43C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258E"/>
    <w:rsid w:val="00C43C73"/>
    <w:rsid w:val="00D82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25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25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1807</Characters>
  <Application>Microsoft Office Word</Application>
  <DocSecurity>0</DocSecurity>
  <Lines>15</Lines>
  <Paragraphs>4</Paragraphs>
  <ScaleCrop>false</ScaleCrop>
  <Company>Microsoft</Company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2024-08-07T06:06:00Z</dcterms:created>
</cp:coreProperties>
</file>