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F1" w:rsidRDefault="006B71F1" w:rsidP="005523FB">
      <w:pPr>
        <w:pStyle w:val="1"/>
      </w:pPr>
      <w:r w:rsidRPr="006D6DBC">
        <w:rPr>
          <w:rFonts w:hint="eastAsia"/>
        </w:rPr>
        <w:t>民乐法院全力推进执行工作集约化改革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攻坚破解执行难回应群众新期待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——民乐法院全力推进执行工作集约化改革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新甘肃·甘肃法治报通讯员卢志远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法院执行工作是维护公平正义的“最后一道关口”。近年来，面对案件数量持续增长，执行难度不断上升带来的执行困境，民乐县人民法院创新工作举措，靶向发力、精准施策，全力推进执行工作集约化改革，推动形成“更快、更强、更规范”的执行工作机制，在攻坚破解执行难上取得新进展、新成效，有力回应了群众对公正司法的新期待。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完善制度建设</w:t>
      </w:r>
      <w:r>
        <w:t xml:space="preserve"> </w:t>
      </w:r>
      <w:r>
        <w:t>让执行速度更快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全面推进执行指挥中心“中枢大脑”实体化运行，制定《民乐县人民法院执行指挥中心实体化运行工作办法》，构建了以指挥中心为中枢，两终案件管理团队和专业化首执案件为两翼的“</w:t>
      </w:r>
      <w:r>
        <w:t>1</w:t>
      </w:r>
      <w:r>
        <w:t>中心</w:t>
      </w:r>
      <w:r>
        <w:t>7</w:t>
      </w:r>
      <w:r>
        <w:t>团队</w:t>
      </w:r>
      <w:r>
        <w:t>”</w:t>
      </w:r>
      <w:r>
        <w:t>执行模式；着眼</w:t>
      </w:r>
      <w:r>
        <w:t>“</w:t>
      </w:r>
      <w:r>
        <w:t>繁简分流、集约处置、分段执行、规范管理</w:t>
      </w:r>
      <w:r>
        <w:t>”</w:t>
      </w:r>
      <w:r>
        <w:t>原则，推行分段集约、区块链执行新模式，打破了原有承办人</w:t>
      </w:r>
      <w:r>
        <w:t>“</w:t>
      </w:r>
      <w:r>
        <w:t>一人包案到底</w:t>
      </w:r>
      <w:r>
        <w:t>”</w:t>
      </w:r>
      <w:r>
        <w:t>的办案模式，将当事人初次接待、制发法律文书、线上集约查询、委托事项办理、强制措施信息录入、网络拍卖辅助、接待执行来访、接处举报电话等事务性工作从承办法官手中剥离出来，让承办法官集中精力查人找物和通过网络拍卖进</w:t>
      </w:r>
      <w:r>
        <w:rPr>
          <w:rFonts w:hint="eastAsia"/>
        </w:rPr>
        <w:t>行财产变现，切实打造集约、高效、规范的执行“生产线”，有效实现了执行工作的弯道超车。</w:t>
      </w:r>
      <w:r>
        <w:t>2023</w:t>
      </w:r>
      <w:r>
        <w:t>年，执结案件</w:t>
      </w:r>
      <w:r>
        <w:t>3159</w:t>
      </w:r>
      <w:r>
        <w:t>件，结案率</w:t>
      </w:r>
      <w:r>
        <w:t>97.32%</w:t>
      </w:r>
      <w:r>
        <w:t>；执行到位</w:t>
      </w:r>
      <w:r>
        <w:t>1.343</w:t>
      </w:r>
      <w:r>
        <w:t>亿元，执行到位率</w:t>
      </w:r>
      <w:r>
        <w:t>29.98%</w:t>
      </w:r>
      <w:r>
        <w:t>，全市法院排名第一。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强化信息赋能</w:t>
      </w:r>
      <w:r>
        <w:t xml:space="preserve"> </w:t>
      </w:r>
      <w:r>
        <w:t>让执行力度更强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充分运用“互联网＋”和信息化为执行工作赋能加力。“智慧执行</w:t>
      </w:r>
      <w:r>
        <w:t>APP”</w:t>
      </w:r>
      <w:r>
        <w:t>一人一账户，依托执行指挥互联网应急调度服务平台，为办案人员提供视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频会商、执行过程记录、执行公开、决策分析等技术服务，执行工作机动能力和应变能力有效增强。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全面推行电子签章，实现无纸化办公，有力提升执行规范化水平。依托“总对总”“点对点”查控平台，实现对被执行人财产信息的线上查询，大大提升财产查控的精准性和全面性。实现执行文书材料一键生成、一键送达，网络账户一键冻结、一键解冻，打造智慧执行“最强大脑”，有效破解执行送达难，节约司法资源。利用微信公众号、抖音等自媒体渠道积极宣传推介，以信息化手段加强对失信被执行人的信用监督、威慑和惩戒，营造浓厚社会氛围，进一步强化执行力度。</w:t>
      </w:r>
      <w:r>
        <w:t>2023</w:t>
      </w:r>
      <w:r>
        <w:t>年度，通过网络查控被执行人</w:t>
      </w:r>
      <w:r>
        <w:t>8000</w:t>
      </w:r>
      <w:r>
        <w:t>余人次，冻结资金</w:t>
      </w:r>
      <w:r>
        <w:t>7058</w:t>
      </w:r>
      <w:r>
        <w:t>万元，查封房产、土地和车</w:t>
      </w:r>
      <w:r>
        <w:rPr>
          <w:rFonts w:hint="eastAsia"/>
        </w:rPr>
        <w:t>辆</w:t>
      </w:r>
      <w:r>
        <w:t>330</w:t>
      </w:r>
      <w:r>
        <w:t>件；列入失信被执行人名单</w:t>
      </w:r>
      <w:r>
        <w:t>1036</w:t>
      </w:r>
      <w:r>
        <w:t>人次，发布失信</w:t>
      </w:r>
      <w:r>
        <w:t>14</w:t>
      </w:r>
      <w:r>
        <w:t>期</w:t>
      </w:r>
      <w:r>
        <w:t>344</w:t>
      </w:r>
      <w:r>
        <w:t>人，发布悬赏公告</w:t>
      </w:r>
      <w:r>
        <w:t>4</w:t>
      </w:r>
      <w:r>
        <w:t>期</w:t>
      </w:r>
      <w:r>
        <w:t>4</w:t>
      </w:r>
      <w:r>
        <w:t>人。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优化管理模式</w:t>
      </w:r>
      <w:r>
        <w:t xml:space="preserve"> </w:t>
      </w:r>
      <w:r>
        <w:t>让执行程序</w:t>
      </w:r>
      <w:r>
        <w:t>“</w:t>
      </w:r>
      <w:r>
        <w:t>更规范</w:t>
      </w:r>
      <w:r>
        <w:t>”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推动执行监督管理从事后监督转变为实时监管，从线下监管变为线上线下同时监管，执行案件的办理过程更加透明可视化，执行规范化的水平不断提高。</w:t>
      </w:r>
    </w:p>
    <w:p w:rsidR="006B71F1" w:rsidRDefault="006B71F1" w:rsidP="006B71F1">
      <w:pPr>
        <w:ind w:firstLineChars="200" w:firstLine="420"/>
        <w:jc w:val="left"/>
      </w:pPr>
      <w:r>
        <w:rPr>
          <w:rFonts w:hint="eastAsia"/>
        </w:rPr>
        <w:t>全面落实执行案款“一案一账号”管理模式，实现执行案款账户“专户专用”，杜绝出现不明案款现象。对涉企、涉民生等重点案件实施“一案一策”“四定一包”制度，对案件进行全程动态监管，有效遏制消极执行、选择性执行、乱执行等现象。切实规范和加强终本案件管理，成立终本案件合规审查小组，对终本案件结案前全面审查，严格把关，从根源上解决终本案件不合规问题。推进涉执信访案件办理规范化，强化首办责任，统一办理标准，做到“诉求有人管、案件及时办、效果有监督、办结有回应”。</w:t>
      </w:r>
      <w:r>
        <w:t>2023</w:t>
      </w:r>
      <w:r>
        <w:t>年，办理涉执信访案件共计</w:t>
      </w:r>
      <w:r>
        <w:t>26</w:t>
      </w:r>
      <w:r>
        <w:t>件，办结率</w:t>
      </w:r>
      <w:r>
        <w:t>100%</w:t>
      </w:r>
      <w:r>
        <w:t>。</w:t>
      </w:r>
    </w:p>
    <w:p w:rsidR="006B71F1" w:rsidRDefault="006B71F1" w:rsidP="006B71F1">
      <w:pPr>
        <w:ind w:firstLineChars="200" w:firstLine="420"/>
        <w:jc w:val="right"/>
      </w:pPr>
      <w:r w:rsidRPr="006D6DBC">
        <w:rPr>
          <w:rFonts w:hint="eastAsia"/>
        </w:rPr>
        <w:t>甘肃法治报</w:t>
      </w:r>
      <w:r>
        <w:rPr>
          <w:rFonts w:hint="eastAsia"/>
        </w:rPr>
        <w:t>2024-03-01</w:t>
      </w:r>
    </w:p>
    <w:p w:rsidR="006B71F1" w:rsidRDefault="006B71F1" w:rsidP="006B6E1C">
      <w:pPr>
        <w:sectPr w:rsidR="006B71F1" w:rsidSect="006B6E1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36FD4" w:rsidRDefault="00436FD4"/>
    <w:sectPr w:rsidR="0043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1F1"/>
    <w:rsid w:val="00436FD4"/>
    <w:rsid w:val="006B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71F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6B71F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2024-07-11T07:33:00Z</dcterms:created>
</cp:coreProperties>
</file>