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EB" w:rsidRDefault="00761FEB" w:rsidP="00821E85">
      <w:pPr>
        <w:pStyle w:val="1"/>
      </w:pPr>
      <w:r w:rsidRPr="00821E85">
        <w:rPr>
          <w:rFonts w:hint="eastAsia"/>
        </w:rPr>
        <w:t>加强财政监督管理</w:t>
      </w:r>
      <w:r w:rsidRPr="00821E85">
        <w:t xml:space="preserve"> 助力新一轮财税体制改革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新一轮财税体制改革必须紧密跟随政治经济形势的演变，积极回应国家战略需求的新挑战和新任务，采取更多有效措施破除体制机制中存在的深层次障碍，促进中国特色社会主义制度优势更好转化为国家治理效能。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在这一过程中，构建更加完善、高效的财政监督管理体系显得尤为重要。一方面，财政监督管理贯穿财政收支运行的各个环节，是规范财经秩序、确保财政政策效果、实现宏观调控目标的重要保障。另一方面，新一轮财税体制改革的精心谋划，离不开财政监督管理的坚实推进与全面保障。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当前，我国财政监督管理还存在法治建设亟待健全、信息化水平仍需提升、国有资产管理有待加强、财会监督体系尚待完善等问题和短板。对此，可以从以下方面着手：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一是推进财政法治建设，保障财政管理有章可循。完善相关法律法规，明确财政管理的基本原则和程序，推动现代财政法律制度体系建设；建设专业的财政法治人才队伍，增强相关人员的法治意识和专业素养；建设跨部门、跨领域的协同合作机制，形成一体化的财政法治治理体系；强化财政法律风险防控能力，依法及时有效化解行政纠纷，规范和改进财政行政行为。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二是着力提升信息化水平，推动财政管理数字化转型。树立财政管理数字化理念，通过构建更为规范的制度体系，拓展业务领域，运用先进的技术手段，统筹推进并深化财政信息化建设的协调发展；完善预算管理一体化的法规、规章和操作规程，强化制度执行；优化并拓展预算管理一体化系统功能。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三是深化预算绩效管理，增强系统性、整体性和协同性。持续扩大预算绩效评价范围并提升其质量；强化部门和单位整体支出绩效评价；探索政府收入绩效管理；充分利用预算绩效评价结果，提高财政资金使用效益。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四是完善国有资产监督管理体制，高效配置国有资产。加强党对国有资产监管的领导，推动党组织参与国有资产监管决策、监督和管理工作；强化国有企业的自我监管约束，建立健全国资监管机构；完善国有资产出资人制度，确保各级出资机构和授权公司切实遵守相关法律；以管资本为主加强国有资产监管，推进经营性国有资产的集中统一监管。</w:t>
      </w:r>
    </w:p>
    <w:p w:rsidR="00761FEB" w:rsidRDefault="00761FEB" w:rsidP="00761FEB">
      <w:pPr>
        <w:ind w:firstLineChars="200" w:firstLine="420"/>
      </w:pPr>
      <w:r>
        <w:rPr>
          <w:rFonts w:hint="eastAsia"/>
        </w:rPr>
        <w:t>五是加强财会监督工作，发挥财会监督职能作用。建立各级政府财会监督协调工作机制；强化部门内部财会监督机制和内部控制体系；发挥中介机构执业监督作用，持续加大对从业人员的培训力度；加强行业协会自律监督，强化财经纪律刚性约束。</w:t>
      </w:r>
    </w:p>
    <w:p w:rsidR="00761FEB" w:rsidRDefault="00761FEB" w:rsidP="00821E85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2024-3-19</w:t>
      </w:r>
    </w:p>
    <w:p w:rsidR="00761FEB" w:rsidRDefault="00761FEB" w:rsidP="003C720E">
      <w:pPr>
        <w:sectPr w:rsidR="00761FEB" w:rsidSect="003C72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7FCB" w:rsidRDefault="00677FCB"/>
    <w:sectPr w:rsidR="0067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FEB"/>
    <w:rsid w:val="00677FCB"/>
    <w:rsid w:val="0076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1FE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61FE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2024-07-11T06:54:00Z</dcterms:created>
</cp:coreProperties>
</file>