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F1D82" w:rsidRDefault="00FF1D82" w:rsidP="00C97DF7">
      <w:pPr>
        <w:pStyle w:val="1"/>
      </w:pPr>
      <w:bookmarkStart w:id="0" w:name="_Toc164157043"/>
      <w:r w:rsidRPr="00C97DF7">
        <w:rPr>
          <w:rFonts w:hint="eastAsia"/>
        </w:rPr>
        <w:t>济宁市：积极构建三个体系</w:t>
      </w:r>
      <w:r w:rsidRPr="00C97DF7">
        <w:t xml:space="preserve"> 全力推动疾病预防控制工作高质量发展</w:t>
      </w:r>
      <w:bookmarkEnd w:id="0"/>
    </w:p>
    <w:p w:rsidR="00FF1D82" w:rsidRDefault="00FF1D82" w:rsidP="00FF1D82">
      <w:pPr>
        <w:ind w:firstLineChars="200" w:firstLine="420"/>
      </w:pPr>
      <w:r>
        <w:rPr>
          <w:rFonts w:hint="eastAsia"/>
        </w:rPr>
        <w:t>济宁市系统重塑机构职能体系，全面强化人才保障体系，创新建立医防协同体系，推动构建起卫生健康部门牵头抓总，疾病预防控制中心提供技术支撑和执法保障，市县乡村四级医疗机构协同参与的疾病预防控制体系，织紧织密了“横向到边、纵向到底”的人民生命健康安全“防护网”。全省疾控改革试点暨标准化建设推进会在济宁召开，邹城市疾控中心改革试点在全省县级疾控中心改革试点终期评估中位列第</w:t>
      </w:r>
      <w:r>
        <w:t>1</w:t>
      </w:r>
      <w:r>
        <w:t>名，疾控改革经验做法在新华网、《大众日报》《人口健康报》等中央、省级媒体刊发推广。</w:t>
      </w:r>
    </w:p>
    <w:p w:rsidR="00FF1D82" w:rsidRDefault="00FF1D82" w:rsidP="00FF1D82">
      <w:pPr>
        <w:ind w:firstLineChars="200" w:firstLine="420"/>
      </w:pPr>
      <w:r>
        <w:rPr>
          <w:rFonts w:hint="eastAsia"/>
        </w:rPr>
        <w:t>健全体制机制框架系统重塑机构职能体系</w:t>
      </w:r>
    </w:p>
    <w:p w:rsidR="00FF1D82" w:rsidRDefault="00FF1D82" w:rsidP="00FF1D82">
      <w:pPr>
        <w:ind w:firstLineChars="200" w:firstLine="420"/>
      </w:pPr>
      <w:r>
        <w:rPr>
          <w:rFonts w:hint="eastAsia"/>
        </w:rPr>
        <w:t>全面加强党的领导。坚持和加强党对疾病预防控制工作的领导，市委高度重视疾病预防控制工作，成立市委书记任组长的市委重大疾病和传染病防治（突发公共卫生事件应急处置）工作领导小组，打造高效运转的组织指挥体系。将疾控改革列入市委全面深化改革委员会</w:t>
      </w:r>
      <w:r>
        <w:t>2023</w:t>
      </w:r>
      <w:r>
        <w:t>年工作要点，以加强党的全面领导为统领</w:t>
      </w:r>
      <w:r>
        <w:t>,</w:t>
      </w:r>
      <w:r>
        <w:t>以理顺体制机制为着力点</w:t>
      </w:r>
      <w:r>
        <w:t>,</w:t>
      </w:r>
      <w:r>
        <w:t>持续深化改革</w:t>
      </w:r>
      <w:r>
        <w:t>,</w:t>
      </w:r>
      <w:r>
        <w:t>建立健全以市县疾控机构和各类专科疾病防治机构为骨干、医疗机构为依托、基层医疗卫生机构为网底，全社会协同的疾病预防控制体系。</w:t>
      </w:r>
    </w:p>
    <w:p w:rsidR="00FF1D82" w:rsidRDefault="00FF1D82" w:rsidP="00FF1D82">
      <w:pPr>
        <w:ind w:firstLineChars="200" w:firstLine="420"/>
      </w:pPr>
      <w:r>
        <w:rPr>
          <w:rFonts w:hint="eastAsia"/>
        </w:rPr>
        <w:t>强化疾控机构设置。市、县卫生健康部门在省内率先加挂疾病预防控制局牌子，整合市、县疾病预防控制中心和卫生健康综合执法机构职责，重新组建市、县疾病预防控制中心，挂卫生监督所牌子，</w:t>
      </w:r>
      <w:r>
        <w:t>11</w:t>
      </w:r>
      <w:r>
        <w:t>个县（市、区）在省内率先完成疾病预防控制中心重组和挂牌任务，</w:t>
      </w:r>
      <w:r>
        <w:t>3</w:t>
      </w:r>
      <w:r>
        <w:t>个市管功能区均设置疾病预防控制中心。市、县（市、区）卫生健康部门进一步优化设置疾病预防控制、传染病疫情应急处置、公共卫生监督等内设机构，疾控中心（卫生监督所）业务机构占比超</w:t>
      </w:r>
      <w:r>
        <w:t>70%</w:t>
      </w:r>
      <w:r>
        <w:t>，专业化导向更加突出。乡镇卫生院、社区卫生服务中心明确专门部室或指定专（兼）职人员负责疾病预防</w:t>
      </w:r>
      <w:r>
        <w:rPr>
          <w:rFonts w:hint="eastAsia"/>
        </w:rPr>
        <w:t>控制工作；村卫生室更好发挥“哨点”“探头”作用。市内二级及以上公立医院统一设置感染管理部、公共卫生部，加强医院感染管理和公共卫生管理，协助开展疾病调查和标本采集等工作。</w:t>
      </w:r>
    </w:p>
    <w:p w:rsidR="00FF1D82" w:rsidRDefault="00FF1D82" w:rsidP="00FF1D82">
      <w:pPr>
        <w:ind w:firstLineChars="200" w:firstLine="420"/>
      </w:pPr>
      <w:r>
        <w:rPr>
          <w:rFonts w:hint="eastAsia"/>
        </w:rPr>
        <w:t>明晰疾病预防控制职责。市级疾控中心负责提供技术支撑，重点加强对县级疾控中心和医疗机构的技术指导与业务协作，同时加强跨区域、重大传染病和重大公共卫生突发事件应急处置。县级疾控中心重点做好辖区疾病防控。各类专科疾病防治机构负责协助疾病预防控制部门制定专科疾病防治规划、建立专科疾病防治协作网络、拟订防治标准规范、推广防治适宜技术和管理模式。乡镇卫生院、社区卫生服务中心加强公共卫生管理服务和基层疾病预防控制工作，落实网格化管理职责，指导各级公立医院依法履行传染病、慢性非传染性疾病、食源性疾病、职业病、精神疾病、地方病等防治职责。</w:t>
      </w:r>
    </w:p>
    <w:p w:rsidR="00FF1D82" w:rsidRDefault="00FF1D82" w:rsidP="00FF1D82">
      <w:pPr>
        <w:ind w:firstLineChars="200" w:firstLine="420"/>
      </w:pPr>
      <w:r>
        <w:rPr>
          <w:rFonts w:hint="eastAsia"/>
        </w:rPr>
        <w:t>加大编制供给力度全面强化人才保障体系</w:t>
      </w:r>
    </w:p>
    <w:p w:rsidR="00FF1D82" w:rsidRDefault="00FF1D82" w:rsidP="00FF1D82">
      <w:pPr>
        <w:ind w:firstLineChars="200" w:firstLine="420"/>
      </w:pPr>
      <w:r>
        <w:rPr>
          <w:rFonts w:hint="eastAsia"/>
        </w:rPr>
        <w:t>充分保障市县疾控中心编制供给。各级均严格按编制标准核定疾控中心编制，对部分已满编的县（市、区），允许其使用高层次人才周转编制，全力保障疾控中心引才需求，</w:t>
      </w:r>
      <w:r>
        <w:t>2022</w:t>
      </w:r>
      <w:r>
        <w:t>年以来，市委编委为市县两级疾控中心下达用编进人计划</w:t>
      </w:r>
      <w:r>
        <w:t>528</w:t>
      </w:r>
      <w:r>
        <w:t>名，市县两级疾控中心通过优才计划、人才回引等政策引进人才</w:t>
      </w:r>
      <w:r>
        <w:t>517</w:t>
      </w:r>
      <w:r>
        <w:t>人，人员空编率均控制在</w:t>
      </w:r>
      <w:r>
        <w:t>5%</w:t>
      </w:r>
      <w:r>
        <w:t>以内，在全省率先完成</w:t>
      </w:r>
      <w:r>
        <w:t>2025</w:t>
      </w:r>
      <w:r>
        <w:t>年目标。</w:t>
      </w:r>
    </w:p>
    <w:p w:rsidR="00FF1D82" w:rsidRDefault="00FF1D82" w:rsidP="00FF1D82">
      <w:pPr>
        <w:ind w:firstLineChars="200" w:firstLine="420"/>
      </w:pPr>
      <w:r>
        <w:rPr>
          <w:rFonts w:hint="eastAsia"/>
        </w:rPr>
        <w:t>推行基层医疗卫生机构人员“县管乡用”机制。全市</w:t>
      </w:r>
      <w:r>
        <w:t>18</w:t>
      </w:r>
      <w:r>
        <w:t>个紧密型县域医共体统一管理、统筹使用</w:t>
      </w:r>
      <w:r>
        <w:t>18</w:t>
      </w:r>
      <w:r>
        <w:t>家县级公立医院</w:t>
      </w:r>
      <w:r>
        <w:t>24240</w:t>
      </w:r>
      <w:r>
        <w:t>名人员控制总量和</w:t>
      </w:r>
      <w:r>
        <w:t>156</w:t>
      </w:r>
      <w:r>
        <w:t>家基层医疗卫生机构</w:t>
      </w:r>
      <w:r>
        <w:t>9460</w:t>
      </w:r>
      <w:r>
        <w:t>名事业编制，实现了医共体内部人员柔性流动、双向交流，不受事业单位类别、编制性质、财政保障比例的限制，有效解决了基层医防能力不足、引才留才难的问题。</w:t>
      </w:r>
    </w:p>
    <w:p w:rsidR="00FF1D82" w:rsidRDefault="00FF1D82" w:rsidP="00FF1D82">
      <w:pPr>
        <w:ind w:firstLineChars="200" w:firstLine="420"/>
      </w:pPr>
      <w:r>
        <w:rPr>
          <w:rFonts w:hint="eastAsia"/>
        </w:rPr>
        <w:t>深度开展医防人才融合。市县两级疾控中心与</w:t>
      </w:r>
      <w:r>
        <w:t>34</w:t>
      </w:r>
      <w:r>
        <w:t>家医疗机构深度开展医防人才融合，市疾控中心与</w:t>
      </w:r>
      <w:r>
        <w:t>6</w:t>
      </w:r>
      <w:r>
        <w:t>家医疗机构双向选派</w:t>
      </w:r>
      <w:r>
        <w:t>52</w:t>
      </w:r>
      <w:r>
        <w:t>名业务骨干，探索形成疾控中心和医疗卫生机构</w:t>
      </w:r>
      <w:r>
        <w:t>“</w:t>
      </w:r>
      <w:r>
        <w:t>人员交流轮岗、人才共同培养、疾病同防同治、实验室共建共享</w:t>
      </w:r>
      <w:r>
        <w:t>”</w:t>
      </w:r>
      <w:r>
        <w:t>新模式。瞄准国内顶级疾控机构和科研院校实施</w:t>
      </w:r>
      <w:r>
        <w:t>“</w:t>
      </w:r>
      <w:r>
        <w:t>走出去</w:t>
      </w:r>
      <w:r>
        <w:t>”</w:t>
      </w:r>
      <w:r>
        <w:t>战略，市疾控中心选派首批</w:t>
      </w:r>
      <w:r>
        <w:t>5</w:t>
      </w:r>
      <w:r>
        <w:t>名年轻业务骨干到中国疾控中心进修学习，所有县级疾控中心全部启动人才外出进修计划。</w:t>
      </w:r>
    </w:p>
    <w:p w:rsidR="00FF1D82" w:rsidRDefault="00FF1D82" w:rsidP="00FF1D82">
      <w:pPr>
        <w:ind w:firstLineChars="200" w:firstLine="420"/>
      </w:pPr>
      <w:r>
        <w:rPr>
          <w:rFonts w:hint="eastAsia"/>
        </w:rPr>
        <w:t>发挥医防融合优势创新建立医防协同体系</w:t>
      </w:r>
    </w:p>
    <w:p w:rsidR="00FF1D82" w:rsidRDefault="00FF1D82" w:rsidP="00FF1D82">
      <w:pPr>
        <w:ind w:firstLineChars="200" w:firstLine="420"/>
      </w:pPr>
      <w:r>
        <w:rPr>
          <w:rFonts w:hint="eastAsia"/>
        </w:rPr>
        <w:t>建立医防协同机制。市委编办、市卫生健康委、市疾控局联合印发《关于加强疾病预防控制体系建设的意见》，建立健全机构间在传染病监测、诊断和病原体监测等方面人员柔性流动、工作协作配合、优质资源互补和信息数据共享机制。搭建以疾控机构为主体的预防医学与公共卫生科研平台，加强科研、临床、疾控人才的相互协同及产学研合作，强化疾控机构对辖区医疗机构疾控工作的技术指导，构筑医防融合、医防协同工作平台。</w:t>
      </w:r>
    </w:p>
    <w:p w:rsidR="00FF1D82" w:rsidRDefault="00FF1D82" w:rsidP="00FF1D82">
      <w:pPr>
        <w:ind w:firstLineChars="200" w:firstLine="420"/>
      </w:pPr>
      <w:r>
        <w:rPr>
          <w:rFonts w:hint="eastAsia"/>
        </w:rPr>
        <w:t>推动县级疾控中心与县域医共体协同发展。县级疾控中心深入参与县域医共体建设，派出业务骨干脱产挂职乡镇卫生院、社区卫生服务中心公共卫生专职副院长，参与发热门诊、感染性疾病科、公共卫生科等科室工作，打造了具有济宁特色的预防、医疗、管理、康复一体化服务链。</w:t>
      </w:r>
    </w:p>
    <w:p w:rsidR="00FF1D82" w:rsidRDefault="00FF1D82" w:rsidP="00FF1D82">
      <w:pPr>
        <w:ind w:firstLineChars="200" w:firstLine="420"/>
      </w:pPr>
      <w:r>
        <w:rPr>
          <w:rFonts w:hint="eastAsia"/>
        </w:rPr>
        <w:t>加快数字医防协同建设。在全省率先建成公共卫生监测预警市级平台，完善传染病多点预警实时联动机制，构建起覆盖</w:t>
      </w:r>
      <w:r>
        <w:t>3776</w:t>
      </w:r>
      <w:r>
        <w:t>家学校托幼机构、</w:t>
      </w:r>
      <w:r>
        <w:t>221</w:t>
      </w:r>
      <w:r>
        <w:t>家养老机构、</w:t>
      </w:r>
      <w:r>
        <w:t>207</w:t>
      </w:r>
      <w:r>
        <w:t>家医疗机构等重要场所的传染病监测哨点网络，实现传染病与突发公共卫生事件的早发现、早预警，在中国卫生信息技术交流大会上被选为典型案例作交流发言。</w:t>
      </w:r>
    </w:p>
    <w:p w:rsidR="00FF1D82" w:rsidRPr="00C97DF7" w:rsidRDefault="00FF1D82" w:rsidP="00C97DF7">
      <w:pPr>
        <w:jc w:val="right"/>
      </w:pPr>
      <w:r w:rsidRPr="00C97DF7">
        <w:rPr>
          <w:rFonts w:hint="eastAsia"/>
        </w:rPr>
        <w:t>济宁新闻客户端</w:t>
      </w:r>
      <w:r>
        <w:rPr>
          <w:rFonts w:hint="eastAsia"/>
        </w:rPr>
        <w:t xml:space="preserve"> 2024-2-29</w:t>
      </w:r>
    </w:p>
    <w:p w:rsidR="00FF1D82" w:rsidRDefault="00FF1D82" w:rsidP="00C215FA">
      <w:pPr>
        <w:sectPr w:rsidR="00FF1D82" w:rsidSect="00847A20">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8D48D4" w:rsidRDefault="008D48D4"/>
    <w:sectPr w:rsidR="008D48D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12089" w:rsidRDefault="008D48D4">
    <w:pPr>
      <w:pStyle w:val="a4"/>
      <w:tabs>
        <w:tab w:val="clear" w:pos="4153"/>
        <w:tab w:val="clear" w:pos="8306"/>
        <w:tab w:val="left" w:pos="0"/>
        <w:tab w:val="right" w:pos="8700"/>
      </w:tabs>
      <w:jc w:val="center"/>
    </w:pPr>
    <w:r>
      <w:fldChar w:fldCharType="begin"/>
    </w:r>
    <w:r>
      <w:instrText xml:space="preserve"> PAGE </w:instrText>
    </w:r>
    <w:r>
      <w:fldChar w:fldCharType="separate"/>
    </w:r>
    <w:r>
      <w:rPr>
        <w:noProof/>
      </w:rPr>
      <w:t>54</w:t>
    </w:r>
    <w:r>
      <w:fldChar w:fldCharType="end"/>
    </w:r>
    <w:r>
      <w:tab/>
    </w:r>
    <w:r>
      <w:rPr>
        <w:rFonts w:hint="eastAsia"/>
      </w:rPr>
      <w:t xml:space="preserve">   </w:t>
    </w:r>
    <w:r>
      <w:rPr>
        <w:rFonts w:hint="eastAsia"/>
      </w:rPr>
      <w:t>服务热线：</w:t>
    </w:r>
    <w:r>
      <w:rPr>
        <w:rFonts w:hint="eastAsia"/>
        <w:szCs w:val="21"/>
      </w:rPr>
      <w:t>010-</w:t>
    </w:r>
    <w:r>
      <w:t>872</w:t>
    </w:r>
    <w:r>
      <w:rPr>
        <w:rFonts w:hint="eastAsia"/>
      </w:rPr>
      <w:t>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12089" w:rsidRDefault="008D48D4">
    <w:pPr>
      <w:pStyle w:val="a4"/>
      <w:tabs>
        <w:tab w:val="clear" w:pos="4153"/>
        <w:tab w:val="clear" w:pos="8306"/>
        <w:tab w:val="right" w:pos="8932"/>
      </w:tabs>
      <w:wordWrap w:val="0"/>
      <w:ind w:leftChars="6" w:left="13"/>
      <w:jc w:val="right"/>
    </w:pPr>
    <w:r>
      <w:rPr>
        <w:rFonts w:hint="eastAsia"/>
      </w:rPr>
      <w:t xml:space="preserve">   </w:t>
    </w:r>
    <w:r>
      <w:rPr>
        <w:rFonts w:hint="eastAsia"/>
      </w:rPr>
      <w:t>服务热线：</w:t>
    </w:r>
    <w:r>
      <w:rPr>
        <w:rFonts w:hint="eastAsia"/>
        <w:szCs w:val="21"/>
      </w:rPr>
      <w:t>010-</w:t>
    </w:r>
    <w:r>
      <w:t>8727</w:t>
    </w:r>
    <w:r>
      <w:rPr>
        <w:rFonts w:hint="eastAsia"/>
      </w:rPr>
      <w:t>7707</w:t>
    </w:r>
    <w:r>
      <w:rPr>
        <w:szCs w:val="21"/>
      </w:rPr>
      <w:tab/>
    </w:r>
    <w:r>
      <w:fldChar w:fldCharType="begin"/>
    </w:r>
    <w:r>
      <w:instrText xml:space="preserve"> PAGE </w:instrText>
    </w:r>
    <w:r>
      <w:fldChar w:fldCharType="separate"/>
    </w:r>
    <w:r>
      <w:rPr>
        <w:noProof/>
      </w:rPr>
      <w:t>55</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12089" w:rsidRDefault="008D48D4">
    <w:pPr>
      <w:pStyle w:val="a3"/>
      <w:tabs>
        <w:tab w:val="clear" w:pos="8306"/>
        <w:tab w:val="right" w:pos="9061"/>
      </w:tabs>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12089" w:rsidRDefault="008D48D4">
    <w:pPr>
      <w:pStyle w:val="a3"/>
      <w:tabs>
        <w:tab w:val="clear" w:pos="8306"/>
        <w:tab w:val="right" w:pos="9061"/>
      </w:tabs>
      <w:jc w:val="both"/>
    </w:pPr>
    <w:r>
      <w:rPr>
        <w:rFonts w:hint="eastAsia"/>
      </w:rPr>
      <w:t>丽人剪报</w:t>
    </w:r>
    <w:r>
      <w:rPr>
        <w:rFonts w:hint="eastAsia"/>
      </w:rPr>
      <w:t xml:space="preserve">         </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F1D82"/>
    <w:rsid w:val="008D48D4"/>
    <w:rsid w:val="00FF1D8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F1D8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F1D82"/>
    <w:rPr>
      <w:rFonts w:ascii="黑体" w:eastAsia="黑体" w:hAnsi="宋体" w:cs="Times New Roman"/>
      <w:b/>
      <w:kern w:val="36"/>
      <w:sz w:val="32"/>
      <w:szCs w:val="32"/>
    </w:rPr>
  </w:style>
  <w:style w:type="paragraph" w:styleId="a3">
    <w:name w:val="header"/>
    <w:basedOn w:val="a"/>
    <w:link w:val="Char"/>
    <w:rsid w:val="00FF1D82"/>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
    <w:name w:val="页眉 Char"/>
    <w:basedOn w:val="a0"/>
    <w:link w:val="a3"/>
    <w:rsid w:val="00FF1D82"/>
    <w:rPr>
      <w:rFonts w:ascii="宋体" w:eastAsia="宋体" w:hAnsi="宋体" w:cs="Times New Roman"/>
      <w:b/>
      <w:bCs/>
      <w:i/>
      <w:kern w:val="36"/>
      <w:sz w:val="24"/>
      <w:szCs w:val="18"/>
    </w:rPr>
  </w:style>
  <w:style w:type="paragraph" w:styleId="a4">
    <w:name w:val="footer"/>
    <w:basedOn w:val="a"/>
    <w:link w:val="Char0"/>
    <w:rsid w:val="00FF1D82"/>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0">
    <w:name w:val="页脚 Char"/>
    <w:basedOn w:val="a0"/>
    <w:link w:val="a4"/>
    <w:rsid w:val="00FF1D82"/>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C7EDCC"/>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319</Words>
  <Characters>1820</Characters>
  <Application>Microsoft Office Word</Application>
  <DocSecurity>0</DocSecurity>
  <Lines>15</Lines>
  <Paragraphs>4</Paragraphs>
  <ScaleCrop>false</ScaleCrop>
  <Company>Microsoft</Company>
  <LinksUpToDate>false</LinksUpToDate>
  <CharactersWithSpaces>2135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2024-04-16T02:50:00Z</dcterms:created>
</cp:coreProperties>
</file>