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404" w:rsidRDefault="006B3404" w:rsidP="00C2086A">
      <w:pPr>
        <w:pStyle w:val="1"/>
      </w:pPr>
      <w:r w:rsidRPr="00C2086A">
        <w:rPr>
          <w:rFonts w:hint="eastAsia"/>
        </w:rPr>
        <w:t>晋城市财政局多措并举促进改革管理科学化规范化精细化</w:t>
      </w:r>
    </w:p>
    <w:p w:rsidR="006B3404" w:rsidRDefault="006B3404" w:rsidP="00C2086A">
      <w:r>
        <w:rPr>
          <w:rFonts w:hint="eastAsia"/>
        </w:rPr>
        <w:t xml:space="preserve">　　山西省晋城市财政局力行全方位、全身心、全过程、全领域的科学化规范化精细化管理，推动财政资金使用效益稳步提升。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一是细化预算编制夯基础。创新预算编制初审、交叉审、集中审“三审核”模式，从严从实强化预算编制。强化零基预算，习惯过“紧日子”，第一顺位兜牢兜实“三保”支出、控制压减“三公”经费和一般性支出；加强项目管理，提高财政支出的精准性和有效性，提升年初预算到位率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二是加强项目储备求精准。项目主管部门聚焦中央、省、市重大决策部署，加强项目谋划，及时完善项目审批手续，科学精准制定项目年度绩效目标，提前在预算管理一体化系统中做好项目储备，加强对下级部门的指导督促，确保项目安排上下联动、集中高效。各级财政部门强化项目库管理，实行项目常态化储备和滚动管理，综合运用会商、评审等方式，加强项目事前评估和评审，发挥绩效目标对项目实施的牵引作用，提高项目的成熟度和可行性。开展项目热点维护，实现项目精准识别和全程管理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三是简化预算流程提效率。重塑优化预算管理流程，依托预算管理一体化系统，整合预算编制、预算执行、政府采购、资产管理、绩效管理、决算和报告等预算管理环节，建立顺向环环相扣和逆向动态可塑的“控制</w:t>
      </w:r>
      <w:r>
        <w:t>+</w:t>
      </w:r>
      <w:r>
        <w:t>反馈</w:t>
      </w:r>
      <w:r>
        <w:t>”</w:t>
      </w:r>
      <w:r>
        <w:t>链条，打通财政资金管理微循环，助推财政业务办理加速度。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四是压实主体责任强管理。明确强化预算单位和县区主体责任，切实承担负责财政资金使用的真实性、合法性、合规性、完整性，严格遵守财经法律法规和相关制度，健全内控制度，规范资金管理，扎实做好事前绩效评估，强化绩效目标管理，严格绩效运行监控，实现绩效自评全覆盖，提高财政资金运行效率和效益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五是保障大事要事促发展。建立大事要事保障机制，有效打破专项资金固化的项目分配格局，在原资金管理权限、分配使用办法、资金下达渠道基础上，将分散在不同部门、不同级次的财政性资金，集中精准投入规划政策内的重要领域、重大工程和重点项目，形成事分轻重缓急的优先、统筹、保障工作格局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六是实施“内转外不转”优服务。构建“内转外不转”闭环运行管理机制，全面推行“文件快跑路，单位少跑腿”，受理办结“一站办”。“申请审核自动化，动态监控提质效”，预算执行“网上办”。“取消不必要环节，提限放权减负担”，数字赋能“贴心办”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七是强化预算执行硬约束。根据项目进度和合同约定快速审核拨付资金，特别是加快农林水、交通运输、民生等重点支出进度，支持中央省市规划确定的重点项目建设，促进预算资金尽快落地见效。根据各部门项目储备和申请计划，优先下达成熟度较高、项目推进较快的项目。结合项目实施条件和拨付进度，分年度编列预算。对贴息、奖补类项目，所需资金列入下年度预算安排；对据实结算类项目，上半年预拨，下年度据实清算；对预计当年无法形成实际支出的项目不得编入年度预算，减少执行中新增沉淀资金。</w:t>
      </w:r>
      <w:r>
        <w:t xml:space="preserve"> </w:t>
      </w:r>
    </w:p>
    <w:p w:rsidR="006B3404" w:rsidRDefault="006B3404" w:rsidP="00C2086A">
      <w:r>
        <w:rPr>
          <w:rFonts w:hint="eastAsia"/>
        </w:rPr>
        <w:t xml:space="preserve">　　八是规范库款调拨增效能。设置专项调度库款项目范围，将乡村衔接、民生等重点资金纳入专项调度库款范围，从源头上确保重点资金的专款专用。提高市区“三保”资金调度频率和库款调度规模，加大财政困难地区的资金支持，确保市区保持合理的库款规模，为正常履职和各项民生政策有效实施提供财力保障。</w:t>
      </w:r>
      <w:r>
        <w:t xml:space="preserve"> </w:t>
      </w:r>
    </w:p>
    <w:p w:rsidR="006B3404" w:rsidRDefault="006B3404" w:rsidP="00C2086A">
      <w:pPr>
        <w:ind w:firstLine="420"/>
      </w:pPr>
      <w:r>
        <w:rPr>
          <w:rFonts w:hint="eastAsia"/>
        </w:rPr>
        <w:t>九是监督管控风险严纪律。有机结合加快预算执行进度、提高财政资金使用效益和保障资金安全，牢固树立依法理财意识，坚决杜绝虚列支出、挤占挪用资金等行为，加快支出进度和保障财政资金安全统筹兼顾，全程监督财政资金的分配、拨付、使用、结算。严格预算约束，不得超出实际收入编制支出预算或追加安排预算，严禁无预算、无用款计划、超预算和超计划拨付资金。采取约谈、通报、核减预算等措施对支出进度落后且工作不力的部门（单位）和预算管理科室督办问责。</w:t>
      </w:r>
    </w:p>
    <w:p w:rsidR="006B3404" w:rsidRDefault="006B3404" w:rsidP="00C2086A">
      <w:pPr>
        <w:ind w:firstLine="420"/>
        <w:jc w:val="right"/>
      </w:pPr>
      <w:r w:rsidRPr="00C2086A">
        <w:rPr>
          <w:rFonts w:hint="eastAsia"/>
        </w:rPr>
        <w:t>晋城市财政局</w:t>
      </w:r>
      <w:r>
        <w:rPr>
          <w:rFonts w:hint="eastAsia"/>
        </w:rPr>
        <w:t xml:space="preserve"> 2024-2-2</w:t>
      </w:r>
    </w:p>
    <w:p w:rsidR="006B3404" w:rsidRDefault="006B3404" w:rsidP="00005290">
      <w:pPr>
        <w:sectPr w:rsidR="006B3404" w:rsidSect="000052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6359" w:rsidRDefault="005D6359"/>
    <w:sectPr w:rsidR="005D63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3404"/>
    <w:rsid w:val="005D6359"/>
    <w:rsid w:val="006B34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34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34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1346</Characters>
  <Application>Microsoft Office Word</Application>
  <DocSecurity>0</DocSecurity>
  <Lines>11</Lines>
  <Paragraphs>3</Paragraphs>
  <ScaleCrop>false</ScaleCrop>
  <Company>Microsoft</Company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2024-04-15T01:41:00Z</dcterms:created>
</cp:coreProperties>
</file>