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649" w:rsidRDefault="00951649" w:rsidP="00F71032">
      <w:pPr>
        <w:pStyle w:val="1"/>
      </w:pPr>
      <w:r w:rsidRPr="0066627B">
        <w:rPr>
          <w:rFonts w:hint="eastAsia"/>
        </w:rPr>
        <w:t>坚持法规引领</w:t>
      </w:r>
      <w:r w:rsidRPr="0066627B">
        <w:t xml:space="preserve"> 开创建筑垃圾治理新局面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建筑垃圾治理是垃圾分类和治理的核心课题，也是美丽城市建设的难点和堵点。近年来，江苏省南通市紧紧围绕建筑垃圾减量化、资源化、无害化目标，在省内率先出台《南通市城市建筑垃圾管理条例》（以下简称《条例》），做到以法规为引领，系统施策、多措并举，初步实现了制度设计体系化、全程管理规范化、终端处置标准化、资源利用科学化、综合执法常态化，开创了建筑垃圾治理新局面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《条例》制定背景及主要内容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随着城市化进程不断加快，城市范围不断扩大，各类建设工程、征地拆迁、小区改造及居民装潢产生大量的建筑垃圾，建筑垃圾收集、中转、消纳、处置基础设施建设滞后，分类不到位、清运不及时，随意堆放、偷倒乱倒现象屡禁不止，成为城市管理工作的难点、百姓关心的热点问题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为了进一步提升建筑垃圾管理绩效，强化法治保障，南通市城市管理局在广泛调研的基础上，积极争取市委、市人大、市政府支持，推动开展建筑垃圾治理立法工作。经省人大常委会批准，《条例》自</w:t>
      </w:r>
      <w:r>
        <w:t>2017</w:t>
      </w:r>
      <w:r>
        <w:t>年</w:t>
      </w:r>
      <w:r>
        <w:t>10</w:t>
      </w:r>
      <w:r>
        <w:t>月</w:t>
      </w:r>
      <w:r>
        <w:t>1</w:t>
      </w:r>
      <w:r>
        <w:t>日起施行，是南通市取得立法权后第二部地方立法，也是全省第一部建筑垃圾专项地方性法规。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在建筑垃圾的排放管理方面，《条例》规定了建设单位排放建筑垃圾的相关义务和责任，并规范装饰、装修垃圾的排放活动，实行排放许可。在建筑垃圾的运输管理方面，规定了建筑垃圾的运输主体、运输车辆和运输要求，对从事建筑垃圾运输服务单位核准的条件进行了明确，将建筑垃圾服务资质纳入行政许可。在建筑垃圾的消纳管理方面，对建筑垃圾的回填、中转调配、资源化利用和填埋等消纳活动进行了规范。在监督管理方面，规定了城管、建设、水利、交通、房管、公安等有关部门的监管职责分工，强化诚信管理，将建筑垃圾处置信息情况纳入全市社会信用体系，建立执法联动机制和应急机制。《条例》的法律责任部分，对法律法规有明确规定的，严格按照上位法规定的范围和幅度设置处罚条款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以《条例》为引领的治理实践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构架整体链条。市政府制订《关于贯彻落实〈南通市城市建筑垃圾管理条例〉的实施方案》《南通市建筑垃圾治理试点实施方案》系列文件，围绕建筑垃圾治理关键环节，从加强源头分类、处置核准、运输监管、资源利用等方面明确具体标准和工作要求，构架完善整体链条，建立较为完整的工作体系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优化核心环节。出台《南通市市区新建成品住宅室内装修管理办法》，最大限度减少二次装修。印发《市区建筑垃圾临时堆场设置及管理规定》，为后端充分资源利用创造有利条件。出台《南通市建筑垃圾处置（运输）许可企业资质审验工作方案》，由市城市管理局牵头市公安、交通等相关部门联合实施运输企业资质许可。出台《关于加强建筑垃圾管理促进资源化利用的意见》，将建筑垃圾再生产品纳入政府采购目录和公共资源交易目录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着力关键支撑。编制《南通市城市建筑垃圾处理规划》，固化中转调配场、资源化利用处理设施空间布局。出台《关于推行全密闭智能建筑垃圾运输车辆的工作方案》和《南通市全密闭智能建筑垃圾运输车辆技术规范》，推广使用新型全密闭智能建筑垃圾运输车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运用《条例》严执法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推动联动执法。印发《违法运输建筑垃圾联合整治工作方案》，整合城管、公安、交通、环保等部门执法力量，充分发挥相关部门的协同作用，多方联动，形成监管合力。常态化组织市、区、街三级城管部门开展联动整治。组织县（市、区）城管部门实行跨区联动，交叉执法。对检查发现的违法车辆一律先行暂扣，统一移交属地城管部门进行查处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开展专项执法。组织对未经许可开展建筑垃圾处置的违法行为专项打击，依法关停取缔了</w:t>
      </w:r>
      <w:r>
        <w:t>10</w:t>
      </w:r>
      <w:r>
        <w:t>多家</w:t>
      </w:r>
      <w:r>
        <w:t>“</w:t>
      </w:r>
      <w:r>
        <w:t>散乱污</w:t>
      </w:r>
      <w:r>
        <w:t>”</w:t>
      </w:r>
      <w:r>
        <w:t>企业。组织开展未密闭运输、车身不洁、带泥上路等违法行为的专项整治。印发《关于开展跨区域偷运偷倒建筑垃圾专项整治行动的通知》，针对跨省偷运偷倒建筑垃圾的违法行为开展专项执法。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坚持全时全域执法。针对后半夜违法运输建筑垃圾现象，组织开展“零点”行动。从夜间</w:t>
      </w:r>
      <w:r>
        <w:t>11</w:t>
      </w:r>
      <w:r>
        <w:t>点开始巡查，实现巡查全时段、全覆盖。注重城区执法向乡镇地区执法延伸，扎实推进执法力量下沉，推行</w:t>
      </w:r>
      <w:r>
        <w:t>“</w:t>
      </w:r>
      <w:r>
        <w:t>乡镇吹哨，城管报到</w:t>
      </w:r>
      <w:r>
        <w:t>”</w:t>
      </w:r>
      <w:r>
        <w:t>共治共管机制，着力扭转建筑垃圾治理在基层乡镇缺位现象，为实现城乡一体治理提供保障。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完善《条例》再提升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伴随上位法修订、城镇一体化进程加快、城市管理综合执法工作向镇街下沉等形势发展需要，南通市对《条例》进行修订。新版条例于</w:t>
      </w:r>
      <w:r>
        <w:t>2023</w:t>
      </w:r>
      <w:r>
        <w:t>年</w:t>
      </w:r>
      <w:r>
        <w:t>1</w:t>
      </w:r>
      <w:r>
        <w:t>月</w:t>
      </w:r>
      <w:r>
        <w:t>1</w:t>
      </w:r>
      <w:r>
        <w:t>日起施行，主要对以下几个方面进行了完善。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扩大适用范围。将建筑垃圾排放、运输、消纳及执法管理活动从原来的市区中心城区、县（市）城区范围向建制镇范围延伸，逐步推进建筑垃圾全域管理，进一步扩大了条例适用范围，强化各级生态保护责任。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优化审批程序。深化“放管服”改革，方便群众办事，精简了建筑垃圾处置（运输）企业许可的申报材料，将原来的</w:t>
      </w:r>
      <w:r>
        <w:t>10</w:t>
      </w:r>
      <w:r>
        <w:t>项申报材料精简为</w:t>
      </w:r>
      <w:r>
        <w:t>5</w:t>
      </w:r>
      <w:r>
        <w:t>项，精简率高达</w:t>
      </w:r>
      <w:r>
        <w:t>50%</w:t>
      </w:r>
      <w:r>
        <w:t>，在办理程序方面，简化为一证许可，提高了行政审批效率，营造良好的营商环境。</w:t>
      </w:r>
    </w:p>
    <w:p w:rsidR="00951649" w:rsidRDefault="00951649" w:rsidP="00951649">
      <w:pPr>
        <w:ind w:firstLineChars="200" w:firstLine="420"/>
      </w:pPr>
      <w:r>
        <w:rPr>
          <w:rFonts w:hint="eastAsia"/>
        </w:rPr>
        <w:t>加大处罚力度。对行政处罚幅度进行了调整，特别是将“在城市管理部门批准设置或者批准地点以外的场所消纳建筑垃圾”“擅自倾倒、抛撒或者堆放，未及时清运建筑垃圾”的违法行为，最高可处</w:t>
      </w:r>
      <w:r>
        <w:t>10</w:t>
      </w:r>
      <w:r>
        <w:t>万元罚款调整为</w:t>
      </w:r>
      <w:r>
        <w:t>100</w:t>
      </w:r>
      <w:r>
        <w:t>万元的罚款；</w:t>
      </w:r>
      <w:r>
        <w:t>“</w:t>
      </w:r>
      <w:r>
        <w:t>委托未经许可的运输单位运输建筑垃圾</w:t>
      </w:r>
      <w:r>
        <w:t>”</w:t>
      </w:r>
      <w:r>
        <w:t>的违法行为，最高可处</w:t>
      </w:r>
      <w:r>
        <w:t>5</w:t>
      </w:r>
      <w:r>
        <w:t>万元罚款调整为</w:t>
      </w:r>
      <w:r>
        <w:t>10</w:t>
      </w:r>
      <w:r>
        <w:t>万元罚款；</w:t>
      </w:r>
      <w:r>
        <w:t>“</w:t>
      </w:r>
      <w:r>
        <w:t>未取得建筑垃圾处置许可证，擅自处置建筑垃圾</w:t>
      </w:r>
      <w:r>
        <w:t>”</w:t>
      </w:r>
      <w:r>
        <w:t>的违法行为，最高可处</w:t>
      </w:r>
      <w:r>
        <w:t>10</w:t>
      </w:r>
      <w:r>
        <w:t>万元罚款调整为</w:t>
      </w:r>
      <w:r>
        <w:t>20</w:t>
      </w:r>
      <w:r>
        <w:t>万元罚款等。进一步提高《条例》威慑力，增强各类主体守法自觉性。</w:t>
      </w:r>
    </w:p>
    <w:p w:rsidR="00951649" w:rsidRDefault="00951649" w:rsidP="00F71032">
      <w:pPr>
        <w:jc w:val="right"/>
      </w:pPr>
      <w:r>
        <w:rPr>
          <w:rFonts w:hint="eastAsia"/>
        </w:rPr>
        <w:t>中国建设新闻网</w:t>
      </w:r>
      <w:r>
        <w:rPr>
          <w:rFonts w:hint="eastAsia"/>
        </w:rPr>
        <w:t xml:space="preserve"> 2023-9-15</w:t>
      </w:r>
    </w:p>
    <w:p w:rsidR="00951649" w:rsidRDefault="00951649" w:rsidP="000251DF">
      <w:pPr>
        <w:sectPr w:rsidR="00951649" w:rsidSect="000251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73BC" w:rsidRDefault="001073BC"/>
    <w:sectPr w:rsidR="001073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1649"/>
    <w:rsid w:val="001073BC"/>
    <w:rsid w:val="009516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164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164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1907</Characters>
  <Application>Microsoft Office Word</Application>
  <DocSecurity>0</DocSecurity>
  <Lines>15</Lines>
  <Paragraphs>4</Paragraphs>
  <ScaleCrop>false</ScaleCrop>
  <Company>Microsoft</Company>
  <LinksUpToDate>false</LinksUpToDate>
  <CharactersWithSpaces>2237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2024-01-31T07:23:00Z</dcterms:created>
</cp:coreProperties>
</file>