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72" w:rsidRDefault="00FA4A72" w:rsidP="00B5249C">
      <w:pPr>
        <w:pStyle w:val="1"/>
      </w:pPr>
      <w:r w:rsidRPr="00B5249C">
        <w:rPr>
          <w:rFonts w:hint="eastAsia"/>
        </w:rPr>
        <w:t>贵阳市白云区围绕“五林”全面推行林长制</w:t>
      </w:r>
    </w:p>
    <w:p w:rsidR="00FA4A72" w:rsidRDefault="00FA4A72" w:rsidP="00FA4A72">
      <w:pPr>
        <w:ind w:firstLineChars="200" w:firstLine="420"/>
      </w:pPr>
      <w:r>
        <w:rPr>
          <w:rFonts w:hint="eastAsia"/>
        </w:rPr>
        <w:t>记者</w:t>
      </w:r>
      <w:r>
        <w:t>10</w:t>
      </w:r>
      <w:r>
        <w:t>月</w:t>
      </w:r>
      <w:r>
        <w:t>9</w:t>
      </w:r>
      <w:r>
        <w:t>日从贵阳市林业局获悉，自发布</w:t>
      </w:r>
      <w:r>
        <w:t>2023</w:t>
      </w:r>
      <w:r>
        <w:t>年第</w:t>
      </w:r>
      <w:r>
        <w:t>1</w:t>
      </w:r>
      <w:r>
        <w:t>号总林长令以来，贵阳市白云区紧紧围绕重林、造林、营林、治林、林改</w:t>
      </w:r>
      <w:r>
        <w:t>“</w:t>
      </w:r>
      <w:r>
        <w:t>五林</w:t>
      </w:r>
      <w:r>
        <w:t>”</w:t>
      </w:r>
      <w:r>
        <w:t>工作，全面推行林长制，力争全面完成植树及育种育苗</w:t>
      </w:r>
      <w:r>
        <w:t>24</w:t>
      </w:r>
      <w:r>
        <w:t>万株，乔木林蓄积每亩达</w:t>
      </w:r>
      <w:r>
        <w:t>6.0</w:t>
      </w:r>
      <w:r>
        <w:t>立方米，林下经济利用林地面积</w:t>
      </w:r>
      <w:r>
        <w:t>4.3</w:t>
      </w:r>
      <w:r>
        <w:t>万亩。</w:t>
      </w:r>
    </w:p>
    <w:p w:rsidR="00FA4A72" w:rsidRDefault="00FA4A72" w:rsidP="00FA4A72">
      <w:pPr>
        <w:ind w:firstLineChars="200" w:firstLine="420"/>
      </w:pPr>
      <w:r>
        <w:rPr>
          <w:rFonts w:hint="eastAsia"/>
        </w:rPr>
        <w:t>树立“重林”意识，全力推动绿色发展。白云区压实各级林长责任，履行好林草资源保护发展职责，以建设经济发展和生态改善双赢的省会城市新中心为抓手，综合实施林间空地及矿山迹地造林、森林质量提升等措施，持续提升森林质量；牢固守好森林覆盖率底线，确保森林覆盖率稳中求增；优化自然保护地边界和功能区，将自然保护地管护基础设施建设与旅游服务有机结合起来，提升公共服务功能。</w:t>
      </w:r>
    </w:p>
    <w:p w:rsidR="00FA4A72" w:rsidRDefault="00FA4A72" w:rsidP="00FA4A72">
      <w:pPr>
        <w:ind w:firstLineChars="200" w:firstLine="420"/>
      </w:pPr>
      <w:r>
        <w:rPr>
          <w:rFonts w:hint="eastAsia"/>
        </w:rPr>
        <w:t>优化“造林”布局，精准提升森林质效。积极拓展造林用地空间，高质量推进国土绿化提质增效，实施森林扩总量、优结构、抓重点行动，抢抓造林季节，持续推进全民义务植树，以环城林带、自然保护地（贵阳长坡岭国家级森林公园）、矿山迹地修复为主线，选取乡土树种，因地制宜实施造林提升工程，打造多彩森林景观，构建人与自然和谐共生的生态格局。积极探索生态效益和经济效益转化，因地制宜发展林下经济，推动绿色经济发展，助力乡村振兴。今年，采取企业直种、“公司</w:t>
      </w:r>
      <w:r>
        <w:t>+</w:t>
      </w:r>
      <w:r>
        <w:t>村集体经济组织</w:t>
      </w:r>
      <w:r>
        <w:t>+</w:t>
      </w:r>
      <w:r>
        <w:t>农户</w:t>
      </w:r>
      <w:r>
        <w:t>”</w:t>
      </w:r>
      <w:r>
        <w:t>等模式，重点发展以林下红托竹荪为主，赤松茸、冬荪为辅的林</w:t>
      </w:r>
      <w:r>
        <w:rPr>
          <w:rFonts w:hint="eastAsia"/>
        </w:rPr>
        <w:t>下食用菌，促进林业产业转型升级、提质增效，构建具有区域特色的林下种植产业体系。</w:t>
      </w:r>
    </w:p>
    <w:p w:rsidR="00FA4A72" w:rsidRDefault="00FA4A72" w:rsidP="00FA4A72">
      <w:pPr>
        <w:ind w:firstLineChars="200" w:firstLine="420"/>
      </w:pPr>
      <w:r>
        <w:rPr>
          <w:rFonts w:hint="eastAsia"/>
        </w:rPr>
        <w:t>贵阳长坡岭国家级森林公园实施造林提升工程。</w:t>
      </w:r>
    </w:p>
    <w:p w:rsidR="00FA4A72" w:rsidRDefault="00FA4A72" w:rsidP="00FA4A72">
      <w:pPr>
        <w:ind w:firstLineChars="200" w:firstLine="420"/>
      </w:pPr>
      <w:r>
        <w:rPr>
          <w:rFonts w:hint="eastAsia"/>
        </w:rPr>
        <w:t>压实“治林”责任，守好林业安全底线。压实区、乡、村三级林长责任，提升林长履职能力。扎牢森林防火网底，加强森林防火专业队伍建设，严厉打击野外违规用火行为，确保森林火灾受灾率在</w:t>
      </w:r>
      <w:r>
        <w:t>0.6‰</w:t>
      </w:r>
      <w:r>
        <w:t>以内。强化林业有害生物防治，全面清理枯</w:t>
      </w:r>
      <w:r>
        <w:t>(</w:t>
      </w:r>
      <w:r>
        <w:t>病</w:t>
      </w:r>
      <w:r>
        <w:t>)</w:t>
      </w:r>
      <w:r>
        <w:t>死松树，加强监测预防，开展防控宣传，严防外出输入，巩固白云区松材线虫病</w:t>
      </w:r>
      <w:r>
        <w:t>“</w:t>
      </w:r>
      <w:r>
        <w:t>零疫区</w:t>
      </w:r>
      <w:r>
        <w:t>”</w:t>
      </w:r>
      <w:r>
        <w:t>防治成果。强化涉林案件行刑衔接，严厉查处各类违法使用林地、毁林开垦、擅自改变林地用途、乱捕滥猎野生动物等违法行为，确保违法线索核实率、行政案件查处率、刑事案件移送率均达到</w:t>
      </w:r>
      <w:r>
        <w:t>100%</w:t>
      </w:r>
      <w:r>
        <w:t>。</w:t>
      </w:r>
    </w:p>
    <w:p w:rsidR="00FA4A72" w:rsidRDefault="00FA4A72" w:rsidP="00FA4A72">
      <w:pPr>
        <w:ind w:firstLineChars="200" w:firstLine="420"/>
      </w:pPr>
      <w:r>
        <w:rPr>
          <w:rFonts w:hint="eastAsia"/>
        </w:rPr>
        <w:t>强化“林改”赋能，提升林业治理能力。聚焦林权、林场、林碳三项重点任务，积极推进林业改革发展，深化集体林权改革，盘活国有林地资源。探索推进森林碳汇市场交易体系，加强森林资源保护管理和森林经营，巩固白云区森林碳汇功能，强化与农户利益联结，做强林业全产业链。</w:t>
      </w:r>
    </w:p>
    <w:p w:rsidR="00FA4A72" w:rsidRDefault="00FA4A72" w:rsidP="00B5249C">
      <w:pPr>
        <w:jc w:val="right"/>
      </w:pPr>
      <w:r w:rsidRPr="00B5249C">
        <w:rPr>
          <w:rFonts w:hint="eastAsia"/>
        </w:rPr>
        <w:t>贵州日报</w:t>
      </w:r>
      <w:r>
        <w:rPr>
          <w:rFonts w:hint="eastAsia"/>
        </w:rPr>
        <w:t>2023-10-9</w:t>
      </w:r>
    </w:p>
    <w:p w:rsidR="00FA4A72" w:rsidRDefault="00FA4A72" w:rsidP="00590671">
      <w:pPr>
        <w:sectPr w:rsidR="00FA4A72" w:rsidSect="0059067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A3CBF" w:rsidRDefault="009A3CBF"/>
    <w:sectPr w:rsidR="009A3C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4A72"/>
    <w:rsid w:val="009A3CBF"/>
    <w:rsid w:val="00FA4A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A4A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A4A7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874</Characters>
  <Application>Microsoft Office Word</Application>
  <DocSecurity>0</DocSecurity>
  <Lines>7</Lines>
  <Paragraphs>2</Paragraphs>
  <ScaleCrop>false</ScaleCrop>
  <Company>Microsoft</Company>
  <LinksUpToDate>false</LinksUpToDate>
  <CharactersWithSpaces>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2024-01-03T08:05:00Z</dcterms:created>
</cp:coreProperties>
</file>