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15B0" w:rsidRDefault="00D515B0" w:rsidP="003D66EE">
      <w:pPr>
        <w:pStyle w:val="1"/>
      </w:pPr>
      <w:r w:rsidRPr="003D66EE">
        <w:rPr>
          <w:rFonts w:hint="eastAsia"/>
        </w:rPr>
        <w:t>推行林长制</w:t>
      </w:r>
      <w:r w:rsidRPr="003D66EE">
        <w:t xml:space="preserve"> 做美生态县</w:t>
      </w:r>
      <w:r w:rsidRPr="003D66EE">
        <w:t>——</w:t>
      </w:r>
      <w:r w:rsidRPr="003D66EE">
        <w:t>浮梁县林长制工作纪实</w:t>
      </w:r>
    </w:p>
    <w:p w:rsidR="00D515B0" w:rsidRDefault="00D515B0" w:rsidP="00D515B0">
      <w:pPr>
        <w:ind w:firstLineChars="200" w:firstLine="420"/>
      </w:pPr>
      <w:r>
        <w:rPr>
          <w:rFonts w:hint="eastAsia"/>
        </w:rPr>
        <w:t>“长忆浮梁风景好，赤栏杆外柳千条”。浮梁，历来就是人们心中的诗和远方。昌江两岸绿树成荫，湿地竟芳；</w:t>
      </w:r>
      <w:r>
        <w:t>206</w:t>
      </w:r>
      <w:r>
        <w:t>国道沿途千峰含翠，层峦叠嶂；五谷尖下百花争艳，瓜果飘香</w:t>
      </w:r>
      <w:r>
        <w:t>……</w:t>
      </w:r>
      <w:r>
        <w:t>放眼浮梁大地是一幅饱含诗意的山水画卷，描绘着生态文明建设的美好蓝图。</w:t>
      </w:r>
    </w:p>
    <w:p w:rsidR="00D515B0" w:rsidRDefault="00D515B0" w:rsidP="00D515B0">
      <w:pPr>
        <w:ind w:firstLineChars="200" w:firstLine="420"/>
      </w:pPr>
      <w:r>
        <w:rPr>
          <w:rFonts w:hint="eastAsia"/>
        </w:rPr>
        <w:t>承载历史积淀、自然赋予和人类文明建设，浮梁是名符其实的“瓷之源、茶之乡、林之海”。</w:t>
      </w:r>
      <w:r>
        <w:t>2018</w:t>
      </w:r>
      <w:r>
        <w:t>年初，为深入贯彻落实习近平总书记生态文明建设思想，浮梁县先行先试推行林长制，探索推出的多项改革举措，得到了省级林长和省林长办的充分肯定，为全省乃至全国提供了示范样板。先后获得全国生态建设突出贡献先进集体、国家生态文明建设示范县、国家生态县、全国</w:t>
      </w:r>
      <w:r>
        <w:t>“</w:t>
      </w:r>
      <w:r>
        <w:t>绿水青山就是金山银山</w:t>
      </w:r>
      <w:r>
        <w:t>”</w:t>
      </w:r>
      <w:r>
        <w:t>实践创新基地、全国休闲农业与乡村旅游示范县、江西省生态文明先行示范县、省级森林城市等荣誉称号。</w:t>
      </w:r>
    </w:p>
    <w:p w:rsidR="00D515B0" w:rsidRDefault="00D515B0" w:rsidP="00D515B0">
      <w:pPr>
        <w:ind w:firstLineChars="200" w:firstLine="420"/>
      </w:pPr>
      <w:r>
        <w:rPr>
          <w:rFonts w:hint="eastAsia"/>
        </w:rPr>
        <w:t>浮梁县在推行林长制工作中，重点抓好“三体系、一队伍”建设，得到了社会各界的充分肯定，取得了明显成效。</w:t>
      </w:r>
    </w:p>
    <w:p w:rsidR="00D515B0" w:rsidRDefault="00D515B0" w:rsidP="00D515B0">
      <w:pPr>
        <w:ind w:firstLineChars="200" w:firstLine="420"/>
      </w:pPr>
      <w:r>
        <w:rPr>
          <w:rFonts w:hint="eastAsia"/>
        </w:rPr>
        <w:t>设立林区建组织体系</w:t>
      </w:r>
    </w:p>
    <w:p w:rsidR="00D515B0" w:rsidRDefault="00D515B0" w:rsidP="00D515B0">
      <w:pPr>
        <w:ind w:firstLineChars="200" w:firstLine="420"/>
      </w:pPr>
      <w:r>
        <w:rPr>
          <w:rFonts w:hint="eastAsia"/>
        </w:rPr>
        <w:t>为充分落实保护发展森林资源目标责任制中的政府主体责任，浮梁县没有按照一名县级林长负责一个乡镇的模式设立林长，而是将全县</w:t>
      </w:r>
      <w:r>
        <w:t>324</w:t>
      </w:r>
      <w:r>
        <w:t>万亩山林根据历史沿革、山形走势等因素区划为</w:t>
      </w:r>
      <w:r>
        <w:t>“</w:t>
      </w:r>
      <w:r>
        <w:t>东南西北中</w:t>
      </w:r>
      <w:r>
        <w:t>”5</w:t>
      </w:r>
      <w:r>
        <w:t>大林区。县级设立总林长和副总林长分别由县党政主要领导担任，县政府副县长各负责一个林区，担任林区长。乡镇同样也是将</w:t>
      </w:r>
      <w:r>
        <w:t>3-4</w:t>
      </w:r>
      <w:r>
        <w:t>个村划为一个片，每个乡级副林长负责一个片。村级由党组织书记任林长，分管林业的村干部任副林长。围绕五大林区，按照</w:t>
      </w:r>
      <w:r>
        <w:t>“</w:t>
      </w:r>
      <w:r>
        <w:t>党政同责、划区管理、分级负责</w:t>
      </w:r>
      <w:r>
        <w:t>”</w:t>
      </w:r>
      <w:r>
        <w:t>的原则，形成了以三级书记任林长的组织体系。</w:t>
      </w:r>
    </w:p>
    <w:p w:rsidR="00D515B0" w:rsidRDefault="00D515B0" w:rsidP="00D515B0">
      <w:pPr>
        <w:ind w:firstLineChars="200" w:firstLine="420"/>
      </w:pPr>
      <w:r>
        <w:rPr>
          <w:rFonts w:hint="eastAsia"/>
        </w:rPr>
        <w:t>浮梁县委书记、县总林长每年主持召开</w:t>
      </w:r>
      <w:r>
        <w:t>2</w:t>
      </w:r>
      <w:r>
        <w:t>次全县总林长会议，专题听取县林长办关于全县林长制工作汇报、完善林长制相关工作制度、确定林长制年度工作要点、部署开展林业专项行动、通报上年度林长制考核结果并安排本年度考核工作，做到统一领导、统筹部署、统分结合。</w:t>
      </w:r>
    </w:p>
    <w:p w:rsidR="00D515B0" w:rsidRDefault="00D515B0" w:rsidP="00D515B0">
      <w:pPr>
        <w:ind w:firstLineChars="200" w:firstLine="420"/>
      </w:pPr>
      <w:r>
        <w:rPr>
          <w:rFonts w:hint="eastAsia"/>
        </w:rPr>
        <w:t>为压实压细林长责任，全面实行林长巡林和“三单一函”制度，浮梁县林长办及时向县级林长提交“林长责任区域森林资源清单、林长工作提示单、林长责任区域问题清单、督办函”，按照林长巡林制度要求，县级林长每季度巡林</w:t>
      </w:r>
      <w:r>
        <w:t>1</w:t>
      </w:r>
      <w:r>
        <w:t>次，乡级林长每月巡林</w:t>
      </w:r>
      <w:r>
        <w:t>1</w:t>
      </w:r>
      <w:r>
        <w:t>次，村级林长每周巡林</w:t>
      </w:r>
      <w:r>
        <w:t>1</w:t>
      </w:r>
      <w:r>
        <w:t>次。</w:t>
      </w:r>
    </w:p>
    <w:p w:rsidR="00D515B0" w:rsidRDefault="00D515B0" w:rsidP="00D515B0">
      <w:pPr>
        <w:ind w:firstLineChars="200" w:firstLine="420"/>
      </w:pPr>
      <w:r>
        <w:rPr>
          <w:rFonts w:hint="eastAsia"/>
        </w:rPr>
        <w:t>划分网格建责任体系</w:t>
      </w:r>
    </w:p>
    <w:p w:rsidR="00D515B0" w:rsidRDefault="00D515B0" w:rsidP="00D515B0">
      <w:pPr>
        <w:ind w:firstLineChars="200" w:firstLine="420"/>
      </w:pPr>
      <w:r>
        <w:rPr>
          <w:rFonts w:hint="eastAsia"/>
        </w:rPr>
        <w:t>在推行林长制工作中，深入探究林业管理体制机制上的问题和不足，深化改革不断加以完善和重构。</w:t>
      </w:r>
    </w:p>
    <w:p w:rsidR="00D515B0" w:rsidRDefault="00D515B0" w:rsidP="00D515B0">
      <w:pPr>
        <w:ind w:firstLineChars="200" w:firstLine="420"/>
      </w:pPr>
      <w:r>
        <w:rPr>
          <w:rFonts w:hint="eastAsia"/>
        </w:rPr>
        <w:t>一是按照森林资源源头管理要求，结合实际率先提出并实行“整合管护资金、整合管护区域、整合管护职责、整合管护队伍”的四项整合，有效破解了原来护林员种类多、管护范围大、工资待遇低、管护效果差等问题。</w:t>
      </w:r>
    </w:p>
    <w:p w:rsidR="00D515B0" w:rsidRDefault="00D515B0" w:rsidP="00D515B0">
      <w:pPr>
        <w:ind w:firstLineChars="200" w:firstLine="420"/>
      </w:pPr>
      <w:r>
        <w:rPr>
          <w:rFonts w:hint="eastAsia"/>
        </w:rPr>
        <w:t>二是率先提出并实行护林员网格化管理。为使管护区域无缝对接不留死角，按照“相对集中、大小适宜、便于管理”的原则，把全县</w:t>
      </w:r>
      <w:r>
        <w:t>324</w:t>
      </w:r>
      <w:r>
        <w:t>万亩林地进行网格化分片，并在地形图上进行统一编号，按照编号逐一落实护林员，全面覆盖。每一名护林员必须在负责区域内同时承担公益林、天保林、森林防火及林业有害生物防治护林员的职责，对责任区的森林防火、乱砍滥伐、乱占林地、森林病虫害监测、野生动植物保护、林业工程设施等进行全方位巡查管护。</w:t>
      </w:r>
    </w:p>
    <w:p w:rsidR="00D515B0" w:rsidRDefault="00D515B0" w:rsidP="00D515B0">
      <w:pPr>
        <w:ind w:firstLineChars="200" w:firstLine="420"/>
      </w:pPr>
      <w:r>
        <w:rPr>
          <w:rFonts w:hint="eastAsia"/>
        </w:rPr>
        <w:t>三是实行护林员“六统一”管理模式。率先提出并实行护林员队伍</w:t>
      </w:r>
      <w:r>
        <w:t xml:space="preserve"> “</w:t>
      </w:r>
      <w:r>
        <w:t>县建、乡管、村用</w:t>
      </w:r>
      <w:r>
        <w:t>”</w:t>
      </w:r>
      <w:r>
        <w:t>的管理体制，统一实行</w:t>
      </w:r>
      <w:r>
        <w:t>“</w:t>
      </w:r>
      <w:r>
        <w:t>一张责任区域分布图、一块岗位公示栏、一套护林员管理制度、一块管护责任牌、一套统一的服装、一本巡山日记</w:t>
      </w:r>
      <w:r>
        <w:t>”</w:t>
      </w:r>
      <w:r>
        <w:t>的</w:t>
      </w:r>
      <w:r>
        <w:t>“</w:t>
      </w:r>
      <w:r>
        <w:t>六个一</w:t>
      </w:r>
      <w:r>
        <w:t>”</w:t>
      </w:r>
      <w:r>
        <w:t>管理模式。</w:t>
      </w:r>
    </w:p>
    <w:p w:rsidR="00D515B0" w:rsidRDefault="00D515B0" w:rsidP="00D515B0">
      <w:pPr>
        <w:ind w:firstLineChars="200" w:firstLine="420"/>
      </w:pPr>
      <w:r>
        <w:rPr>
          <w:rFonts w:hint="eastAsia"/>
        </w:rPr>
        <w:t>依托科技建监管体系</w:t>
      </w:r>
    </w:p>
    <w:p w:rsidR="00D515B0" w:rsidRDefault="00D515B0" w:rsidP="00D515B0">
      <w:pPr>
        <w:ind w:firstLineChars="200" w:firstLine="420"/>
      </w:pPr>
      <w:r>
        <w:rPr>
          <w:rFonts w:hint="eastAsia"/>
        </w:rPr>
        <w:t>加强森林资源源头巡山管护是林长制持续深化的重要保障，根据省林长办统一部署我县依托科技建立“天空地”立体化的监管体系。“天上”有森林督查卫星图片、“空中”有巡护信息网络、“地面”有村级“一长两员”监管队伍，对森林资源进行全方位立体监管。并建立护林员巡山“疑似问题台账”，提出“巡山报告、建帐管理、甄别处置、督察考核”十六字原则，要求护林员坚持做到日常使用</w:t>
      </w:r>
      <w:r>
        <w:t>APP</w:t>
      </w:r>
      <w:r>
        <w:t>巡山、及时记录上传事件，林长办对事件甄别处置，建立疑似问题台帐。让护林员成为林长制的</w:t>
      </w:r>
      <w:r>
        <w:t>“</w:t>
      </w:r>
      <w:r>
        <w:t>眼睛</w:t>
      </w:r>
      <w:r>
        <w:t>”</w:t>
      </w:r>
      <w:r>
        <w:t>，森林资源源头管理的</w:t>
      </w:r>
      <w:r>
        <w:t>“</w:t>
      </w:r>
      <w:r>
        <w:t>探头</w:t>
      </w:r>
      <w:r>
        <w:t>”</w:t>
      </w:r>
      <w:r>
        <w:t>。</w:t>
      </w:r>
    </w:p>
    <w:p w:rsidR="00D515B0" w:rsidRDefault="00D515B0" w:rsidP="00D515B0">
      <w:pPr>
        <w:ind w:firstLineChars="200" w:firstLine="420"/>
      </w:pPr>
      <w:r>
        <w:rPr>
          <w:rFonts w:hint="eastAsia"/>
        </w:rPr>
        <w:t>林长制工作成效明显</w:t>
      </w:r>
    </w:p>
    <w:p w:rsidR="00D515B0" w:rsidRDefault="00D515B0" w:rsidP="00D515B0">
      <w:pPr>
        <w:ind w:firstLineChars="200" w:firstLine="420"/>
      </w:pPr>
      <w:r>
        <w:rPr>
          <w:rFonts w:hint="eastAsia"/>
        </w:rPr>
        <w:t>实施林长制以来，党政同责共建“一张网”，上下联动同下“一盘棋”。切实加强了森林资源保护与发展，让浮梁“山更青、水更绿、民更富”。</w:t>
      </w:r>
    </w:p>
    <w:p w:rsidR="00D515B0" w:rsidRDefault="00D515B0" w:rsidP="00D515B0">
      <w:pPr>
        <w:ind w:firstLineChars="200" w:firstLine="420"/>
      </w:pPr>
      <w:r>
        <w:rPr>
          <w:rFonts w:hint="eastAsia"/>
        </w:rPr>
        <w:t>实施林长制以来，浮梁县森林资源源头管理责任更加明确，生态环境进一步得到改善。境内的黑麂自然保护区内的红外相机多次拍摄到全世界仅存</w:t>
      </w:r>
      <w:r>
        <w:t>6000</w:t>
      </w:r>
      <w:r>
        <w:t>余只的国家一级保护动物黑麂；对水质要求非常苛刻的国家一级保护野生动物中华秋沙鸭，穿山甲、白颈长尾雉以及珍稀野生动物白鹇、猕猴、鬣羚等也频频现身，形成了人与自然和谐共生的美好画卷。</w:t>
      </w:r>
    </w:p>
    <w:p w:rsidR="00D515B0" w:rsidRDefault="00D515B0" w:rsidP="00D515B0">
      <w:pPr>
        <w:ind w:firstLineChars="200" w:firstLine="420"/>
      </w:pPr>
      <w:r>
        <w:rPr>
          <w:rFonts w:hint="eastAsia"/>
        </w:rPr>
        <w:t>通过对</w:t>
      </w:r>
      <w:r>
        <w:t>5</w:t>
      </w:r>
      <w:r>
        <w:t>年来森林督查数据统计分析，可见森林资源源头管理的有效变化。一是从森林督查变化图斑数量来看。属浮梁县管理的，</w:t>
      </w:r>
      <w:r>
        <w:t>2018</w:t>
      </w:r>
      <w:r>
        <w:t>年变化图斑数为</w:t>
      </w:r>
      <w:r>
        <w:t>1030</w:t>
      </w:r>
      <w:r>
        <w:t>个、</w:t>
      </w:r>
      <w:r>
        <w:t>2019</w:t>
      </w:r>
      <w:r>
        <w:t>年</w:t>
      </w:r>
      <w:r>
        <w:t>540</w:t>
      </w:r>
      <w:r>
        <w:t>个、</w:t>
      </w:r>
      <w:r>
        <w:t>2020</w:t>
      </w:r>
      <w:r>
        <w:t>年</w:t>
      </w:r>
      <w:r>
        <w:t>235</w:t>
      </w:r>
      <w:r>
        <w:t>个、</w:t>
      </w:r>
      <w:r>
        <w:t>2021</w:t>
      </w:r>
      <w:r>
        <w:t>年</w:t>
      </w:r>
      <w:r>
        <w:t>799</w:t>
      </w:r>
      <w:r>
        <w:t>个、</w:t>
      </w:r>
      <w:r>
        <w:t>2022</w:t>
      </w:r>
      <w:r>
        <w:t>年</w:t>
      </w:r>
      <w:r>
        <w:t>476</w:t>
      </w:r>
      <w:r>
        <w:t>个；存在问题的图斑数</w:t>
      </w:r>
      <w:r>
        <w:t>2018</w:t>
      </w:r>
      <w:r>
        <w:t>年</w:t>
      </w:r>
      <w:r>
        <w:t>144</w:t>
      </w:r>
      <w:r>
        <w:t>个、</w:t>
      </w:r>
      <w:r>
        <w:t>2019</w:t>
      </w:r>
      <w:r>
        <w:t>年</w:t>
      </w:r>
      <w:r>
        <w:t>77</w:t>
      </w:r>
      <w:r>
        <w:t>个、</w:t>
      </w:r>
      <w:r>
        <w:t>2020</w:t>
      </w:r>
      <w:r>
        <w:t>年的</w:t>
      </w:r>
      <w:r>
        <w:t>21</w:t>
      </w:r>
      <w:r>
        <w:t>个、</w:t>
      </w:r>
      <w:r>
        <w:t>2021</w:t>
      </w:r>
      <w:r>
        <w:t>年</w:t>
      </w:r>
      <w:r>
        <w:t>52</w:t>
      </w:r>
      <w:r>
        <w:t>个、</w:t>
      </w:r>
      <w:r>
        <w:t>2022</w:t>
      </w:r>
      <w:r>
        <w:t>年</w:t>
      </w:r>
      <w:r>
        <w:t>25</w:t>
      </w:r>
      <w:r>
        <w:t>个，图斑总数及问题图斑数量总体均呈逐年下降的趋势。二是从问题图斑性质来看。</w:t>
      </w:r>
      <w:r>
        <w:t>2018</w:t>
      </w:r>
      <w:r>
        <w:t>年问题图斑数</w:t>
      </w:r>
      <w:r>
        <w:t>144</w:t>
      </w:r>
      <w:r>
        <w:t>个（其中行政、刑事案件</w:t>
      </w:r>
      <w:r>
        <w:t>30</w:t>
      </w:r>
      <w:r>
        <w:t>起，一般性问题</w:t>
      </w:r>
      <w:r>
        <w:t>114</w:t>
      </w:r>
      <w:r>
        <w:t>个），</w:t>
      </w:r>
      <w:r>
        <w:t>2019</w:t>
      </w:r>
      <w:r>
        <w:t>年问题图斑数</w:t>
      </w:r>
      <w:r>
        <w:t>77</w:t>
      </w:r>
      <w:r>
        <w:t>个</w:t>
      </w:r>
      <w:r>
        <w:rPr>
          <w:rFonts w:hint="eastAsia"/>
        </w:rPr>
        <w:t>（行政、刑事案件</w:t>
      </w:r>
      <w:r>
        <w:t>23</w:t>
      </w:r>
      <w:r>
        <w:t>起，一般性问题</w:t>
      </w:r>
      <w:r>
        <w:t>54</w:t>
      </w:r>
      <w:r>
        <w:t>个），</w:t>
      </w:r>
      <w:r>
        <w:t>2020</w:t>
      </w:r>
      <w:r>
        <w:t>年问题图斑数</w:t>
      </w:r>
      <w:r>
        <w:t>21</w:t>
      </w:r>
      <w:r>
        <w:t>个（行政、刑事</w:t>
      </w:r>
      <w:r>
        <w:t>15</w:t>
      </w:r>
      <w:r>
        <w:t>起，一般性问题</w:t>
      </w:r>
      <w:r>
        <w:t>6</w:t>
      </w:r>
      <w:r>
        <w:t>个），</w:t>
      </w:r>
      <w:r>
        <w:t>2021</w:t>
      </w:r>
      <w:r>
        <w:t>年问题图斑数</w:t>
      </w:r>
      <w:r>
        <w:t>52</w:t>
      </w:r>
      <w:r>
        <w:t>个（行政、刑事</w:t>
      </w:r>
      <w:r>
        <w:t>27</w:t>
      </w:r>
      <w:r>
        <w:t>起，一般性问题</w:t>
      </w:r>
      <w:r>
        <w:t>25</w:t>
      </w:r>
      <w:r>
        <w:t>个），</w:t>
      </w:r>
      <w:r>
        <w:t>2022</w:t>
      </w:r>
      <w:r>
        <w:t>年问题图斑数</w:t>
      </w:r>
      <w:r>
        <w:t>25</w:t>
      </w:r>
      <w:r>
        <w:t>个（行政、刑事</w:t>
      </w:r>
      <w:r>
        <w:t>22</w:t>
      </w:r>
      <w:r>
        <w:t>起，一般性问题</w:t>
      </w:r>
      <w:r>
        <w:t>3</w:t>
      </w:r>
      <w:r>
        <w:t>个），无论是行政、刑事案件数量、还是一般性违规行为数量总体均有所下降。三是从问题图斑的掌握程度来看。</w:t>
      </w:r>
      <w:r>
        <w:t>2018</w:t>
      </w:r>
      <w:r>
        <w:t>年问题图斑在图斑下发之前县林业局发现并处理的仅占</w:t>
      </w:r>
      <w:r>
        <w:t>10%</w:t>
      </w:r>
      <w:r>
        <w:t>。</w:t>
      </w:r>
      <w:r>
        <w:t>2019</w:t>
      </w:r>
      <w:r>
        <w:t>年问题图斑在图斑下发之前就已发现并查处的达到</w:t>
      </w:r>
      <w:r>
        <w:t>50%</w:t>
      </w:r>
      <w:r>
        <w:t>，</w:t>
      </w:r>
      <w:r>
        <w:t>2020</w:t>
      </w:r>
      <w:r>
        <w:t>年以后问题图斑在图斑下发之前就已发现并查处的达到</w:t>
      </w:r>
      <w:r>
        <w:t>80%</w:t>
      </w:r>
      <w:r>
        <w:t>以上。这是由于林长制实施后，加强了网格化的责任管理，林长、护林员巡山的次数明显增多，当问题出现苗头时，大都能被及时发现，再结合浮梁县的疑似问题台帐制度，能有效的制止和遏制违法违规行为发生。改变了以往的林业案件大都是由群众举报或是其他线索反查才能发现问题的现象。</w:t>
      </w:r>
    </w:p>
    <w:p w:rsidR="00D515B0" w:rsidRDefault="00D515B0" w:rsidP="00D515B0">
      <w:pPr>
        <w:ind w:firstLineChars="200" w:firstLine="420"/>
      </w:pPr>
      <w:r>
        <w:rPr>
          <w:rFonts w:hint="eastAsia"/>
        </w:rPr>
        <w:t>综合森林督查数据和趋势分析，表明了浮梁县推行林长制之后，林业综合治理体系和治理能力现代化建设取得了明显成效。浮梁县通过全面推行林长制，真正做到“山有人管、林有人造、树有人护、责有人担”，为打造美丽中国“江西样板”和建设好国家生态文明试验区做出浮梁贡献。</w:t>
      </w:r>
    </w:p>
    <w:p w:rsidR="00D515B0" w:rsidRDefault="00D515B0" w:rsidP="003D66EE">
      <w:pPr>
        <w:jc w:val="right"/>
      </w:pPr>
      <w:r w:rsidRPr="003D66EE">
        <w:rPr>
          <w:rFonts w:hint="eastAsia"/>
        </w:rPr>
        <w:t>浮梁</w:t>
      </w:r>
      <w:r>
        <w:rPr>
          <w:rFonts w:hint="eastAsia"/>
        </w:rPr>
        <w:t>要闻</w:t>
      </w:r>
      <w:r>
        <w:rPr>
          <w:rFonts w:hint="eastAsia"/>
        </w:rPr>
        <w:t>2023-10-18</w:t>
      </w:r>
    </w:p>
    <w:p w:rsidR="00D515B0" w:rsidRDefault="00D515B0" w:rsidP="003B3BA7">
      <w:pPr>
        <w:sectPr w:rsidR="00D515B0" w:rsidSect="003B3BA7">
          <w:type w:val="continuous"/>
          <w:pgSz w:w="11906" w:h="16838"/>
          <w:pgMar w:top="1644" w:right="1236" w:bottom="1418" w:left="1814" w:header="851" w:footer="907" w:gutter="0"/>
          <w:pgNumType w:start="1"/>
          <w:cols w:space="720"/>
          <w:docGrid w:type="lines" w:linePitch="341" w:charSpace="2373"/>
        </w:sectPr>
      </w:pPr>
    </w:p>
    <w:p w:rsidR="00AF0C55" w:rsidRDefault="00AF0C55"/>
    <w:sectPr w:rsidR="00AF0C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15B0"/>
    <w:rsid w:val="00AF0C55"/>
    <w:rsid w:val="00D515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515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515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2267</Characters>
  <Application>Microsoft Office Word</Application>
  <DocSecurity>0</DocSecurity>
  <Lines>18</Lines>
  <Paragraphs>5</Paragraphs>
  <ScaleCrop>false</ScaleCrop>
  <Company>Microsoft</Company>
  <LinksUpToDate>false</LinksUpToDate>
  <CharactersWithSpaces>2659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2024-01-03T08:16:00Z</dcterms:created>
</cp:coreProperties>
</file>