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2CC" w:rsidRPr="00965395" w:rsidRDefault="008A02CC" w:rsidP="00965395">
      <w:pPr>
        <w:pStyle w:val="1"/>
        <w:spacing w:line="247" w:lineRule="auto"/>
      </w:pPr>
      <w:r w:rsidRPr="00965395">
        <w:rPr>
          <w:rFonts w:hint="eastAsia"/>
        </w:rPr>
        <w:t>马鞍山市检察机关聚焦重点领域</w:t>
      </w:r>
      <w:r w:rsidRPr="00965395">
        <w:t xml:space="preserve"> 多措并举做好民事虚假诉讼监督工作</w:t>
      </w:r>
    </w:p>
    <w:p w:rsidR="008A02CC" w:rsidRDefault="008A02CC" w:rsidP="008A02CC">
      <w:pPr>
        <w:spacing w:line="247" w:lineRule="auto"/>
        <w:ind w:firstLineChars="200" w:firstLine="420"/>
        <w:jc w:val="left"/>
      </w:pPr>
      <w:r>
        <w:rPr>
          <w:rFonts w:hint="eastAsia"/>
        </w:rPr>
        <w:t>虚假诉讼是指行为人单独或与他人恶意串通，虚构民事纠纷，向人民法院提起民事诉讼，妨害司法秩序的行为。随着社会经济发展，虚假诉讼渗透于民间借贷、婚姻案件、以企业为被告的财产纠纷案件、城市房屋拆迁补偿有关的财产案件等领域，严重扰乱了市场经济秩序和司法秩序。近年来，全市检察机关健全长效机制，持续加大对虚假诉讼行为打击力度，</w:t>
      </w:r>
      <w:r>
        <w:t>2019</w:t>
      </w:r>
      <w:r>
        <w:t>年以来，共受理民事虚假诉讼监督案件</w:t>
      </w:r>
      <w:r>
        <w:t>257</w:t>
      </w:r>
      <w:r>
        <w:t>件，审结后提出抗诉</w:t>
      </w:r>
      <w:r>
        <w:t>31</w:t>
      </w:r>
      <w:r>
        <w:t>件、提请省检察院抗诉</w:t>
      </w:r>
      <w:r>
        <w:t>28</w:t>
      </w:r>
      <w:r>
        <w:t>件、制发再审检察建议</w:t>
      </w:r>
      <w:r>
        <w:t>133</w:t>
      </w:r>
      <w:r>
        <w:t>件，提出审判程序和执行监督检察建议</w:t>
      </w:r>
      <w:r>
        <w:t>67</w:t>
      </w:r>
      <w:r>
        <w:t>件，采纳</w:t>
      </w:r>
      <w:r>
        <w:t>67</w:t>
      </w:r>
      <w:r>
        <w:t>件，采纳率达</w:t>
      </w:r>
      <w:r>
        <w:t>100%</w:t>
      </w:r>
      <w:r>
        <w:t>。</w:t>
      </w:r>
    </w:p>
    <w:p w:rsidR="008A02CC" w:rsidRDefault="008A02CC" w:rsidP="008A02CC">
      <w:pPr>
        <w:spacing w:line="247" w:lineRule="auto"/>
        <w:ind w:firstLineChars="200" w:firstLine="420"/>
        <w:jc w:val="left"/>
      </w:pPr>
      <w:r>
        <w:t>一是持续聚焦扫黑除恶相关虚假诉讼案件。针对虚假诉讼往往与涉黑涉恶等刑事犯罪密切关联的特点，持续聚焦涉黑涉恶案件，全面落实</w:t>
      </w:r>
      <w:r>
        <w:t>“</w:t>
      </w:r>
      <w:r>
        <w:t>一案三查</w:t>
      </w:r>
      <w:r>
        <w:t>”</w:t>
      </w:r>
      <w:r>
        <w:t>，深挖</w:t>
      </w:r>
      <w:r>
        <w:t>“</w:t>
      </w:r>
      <w:r>
        <w:t>套路贷</w:t>
      </w:r>
      <w:r>
        <w:t>”</w:t>
      </w:r>
      <w:r>
        <w:t>诈骗、敲诈勒索等黑恶犯罪中涉及的民事虚假诉讼线索。</w:t>
      </w:r>
      <w:r>
        <w:t>2020</w:t>
      </w:r>
      <w:r>
        <w:t>年以来，全市检察机关共受理扫黑除恶刑事案件</w:t>
      </w:r>
      <w:r>
        <w:t>26</w:t>
      </w:r>
      <w:r>
        <w:t>件</w:t>
      </w:r>
      <w:r>
        <w:t>231</w:t>
      </w:r>
      <w:r>
        <w:t>人，从中挖掘线索，办理虚假诉讼民事检察监督案件</w:t>
      </w:r>
      <w:r>
        <w:t>74</w:t>
      </w:r>
      <w:r>
        <w:t>件，提出再审检察建议</w:t>
      </w:r>
      <w:r>
        <w:t>28</w:t>
      </w:r>
      <w:r>
        <w:t>件，法院均已裁定再审；提出抗诉</w:t>
      </w:r>
      <w:r>
        <w:t>18</w:t>
      </w:r>
      <w:r>
        <w:t>件，其中</w:t>
      </w:r>
      <w:r>
        <w:t>17</w:t>
      </w:r>
      <w:r>
        <w:t>件已经法院再审改判；提出审判程序和执行检察建议</w:t>
      </w:r>
      <w:r>
        <w:t>28</w:t>
      </w:r>
      <w:r>
        <w:t>件。如花山区检察院在办理文君民等人涉恶案件中发现文君民虚构本金、隐瞒本金、利息已</w:t>
      </w:r>
      <w:r>
        <w:rPr>
          <w:rFonts w:hint="eastAsia"/>
        </w:rPr>
        <w:t>经支付的事实向法院提起虚假诉讼，花山区检察院及时启动民事监督程序，对</w:t>
      </w:r>
      <w:r>
        <w:t>6</w:t>
      </w:r>
      <w:r>
        <w:t>件文君民虚假诉讼案件，提请市检察院抗诉，市检察院审查后提出抗诉，均已经法院再审改判。市检察院同时针对</w:t>
      </w:r>
      <w:r>
        <w:t>5</w:t>
      </w:r>
      <w:r>
        <w:t>件二审案件，提请省检察院抗诉，法院再审后予以改判，维护了司法权威和司法公信力。</w:t>
      </w:r>
    </w:p>
    <w:p w:rsidR="008A02CC" w:rsidRDefault="008A02CC" w:rsidP="008A02CC">
      <w:pPr>
        <w:spacing w:line="247" w:lineRule="auto"/>
        <w:ind w:firstLineChars="200" w:firstLine="420"/>
        <w:jc w:val="left"/>
      </w:pPr>
      <w:r>
        <w:t>二是专项推进涉民营企业虚假诉讼监督。围绕市委、市政府营造法治化营商环境决策部署，专项推进侵害民营企业财产权虚假诉讼监督，依法保护涉案民企合法权益。办理涉民营企业虚假诉讼案件</w:t>
      </w:r>
      <w:r>
        <w:t>60</w:t>
      </w:r>
      <w:r>
        <w:t>件，帮助民营企业挽回损失约</w:t>
      </w:r>
      <w:r>
        <w:t>2000</w:t>
      </w:r>
      <w:r>
        <w:t>万元。如市检察院在办案中发现阚小七虚假诉讼线索，依职权受理该案。经审查发现当事人重复提交证据，损害了作为债务人的岩土公司的利益，于是向市中级人民法院发出再审检察建议。该案已经中院再审，有望纠正错判，为公司挽回损失</w:t>
      </w:r>
      <w:r>
        <w:t>170</w:t>
      </w:r>
      <w:r>
        <w:t>余万元。</w:t>
      </w:r>
    </w:p>
    <w:p w:rsidR="008A02CC" w:rsidRDefault="008A02CC" w:rsidP="008A02CC">
      <w:pPr>
        <w:spacing w:line="247" w:lineRule="auto"/>
        <w:ind w:firstLineChars="200" w:firstLine="420"/>
        <w:jc w:val="left"/>
      </w:pPr>
      <w:r>
        <w:t>三是精准监督民间借贷领域虚假诉讼。从虚假诉讼涉及领域来看，主要集中在民间借贷纠纷、房地产权属纠纷、离婚涉财纠纷等，其中民间借贷案件法律关系简单，当事人伪造证据较容易，成为虚假诉讼的</w:t>
      </w:r>
      <w:r>
        <w:t>“</w:t>
      </w:r>
      <w:r>
        <w:t>重灾区</w:t>
      </w:r>
      <w:r>
        <w:t>”</w:t>
      </w:r>
      <w:r>
        <w:t>。全市检察机关办理的</w:t>
      </w:r>
      <w:r>
        <w:t>257</w:t>
      </w:r>
      <w:r>
        <w:t>件民事虚假诉讼案件中，有</w:t>
      </w:r>
      <w:r>
        <w:t>190</w:t>
      </w:r>
      <w:r>
        <w:t>件案由均为民间借贷纠纷，占比达</w:t>
      </w:r>
      <w:r>
        <w:t>74%</w:t>
      </w:r>
      <w:r>
        <w:t>。检察机关牢固树立精准监督理念，持续加大民间借贷领域虚假诉讼监督力度，严肃查办当事人之间通过共谋、串通等方式虚构债权债务，骗取法院裁判文书，转移财产或侵害第三人合法利益的行为。如花山区检察院办理的李允林虚假诉讼监督案，李允林为转</w:t>
      </w:r>
      <w:r>
        <w:rPr>
          <w:rFonts w:hint="eastAsia"/>
        </w:rPr>
        <w:t>移财产、逃避债务，与朱家琴虚构</w:t>
      </w:r>
      <w:r>
        <w:t>600</w:t>
      </w:r>
      <w:r>
        <w:t>万元借款协议，并据此对李允林名下房产办理抵押登记，后朱家琴诉至法院，同日双方达成调解。该份调解协议损害了李允林其他合法债权人的利益。检察机关发现线索后及时受理审查，并制发再审检察建议，法院裁定再审后驳回了朱家琴的诉讼请求。</w:t>
      </w:r>
    </w:p>
    <w:p w:rsidR="008A02CC" w:rsidRDefault="008A02CC" w:rsidP="008A02CC">
      <w:pPr>
        <w:spacing w:line="247" w:lineRule="auto"/>
        <w:ind w:firstLineChars="200" w:firstLine="420"/>
        <w:jc w:val="left"/>
      </w:pPr>
      <w:r>
        <w:t>四是重点打击房地产买卖领域虚假诉讼。</w:t>
      </w:r>
      <w:r>
        <w:t>2021</w:t>
      </w:r>
      <w:r>
        <w:t>年下半年，安徽部分地区发现数十件乃至上百件涉及南京政策性房屋买卖合同纠纷的虚假诉讼案件。该系列案件主要特点是南京的中介机构在收取当事人巨额中介费后，通过虚构争议事实和当事人住址、协议约定管辖法院（仲裁机构）、向司法工作人员行贿等方式，骗取外地非专属管辖法院的民事调解书（仲裁调解书）和执行裁定书，从而使得南京市限制上市交易的拆迁安置房（经济适用房）等政策性房屋顺利过户，违反了《南京市经济适用住房管理实施细则》等相关限售政策，严重妨碍正常司法秩序，浪费了司法资源，规</w:t>
      </w:r>
      <w:r>
        <w:rPr>
          <w:rFonts w:hint="eastAsia"/>
        </w:rPr>
        <w:t>避了房地产交易税费，损害了国家和社会公共利益。</w:t>
      </w:r>
      <w:r>
        <w:t>2022</w:t>
      </w:r>
      <w:r>
        <w:t>年</w:t>
      </w:r>
      <w:r>
        <w:t>5</w:t>
      </w:r>
      <w:r>
        <w:t>月，省检察院、省公安厅挂牌督办</w:t>
      </w:r>
      <w:r>
        <w:t>“7.26”</w:t>
      </w:r>
      <w:r>
        <w:t>系列房地产买卖虚假诉讼案件，向马鞍山市检察机关移转案件线索</w:t>
      </w:r>
      <w:r>
        <w:t>20</w:t>
      </w:r>
      <w:r>
        <w:t>条，我市检察机关及时与公安机关对接，完成案件关键取证，查清虚假诉讼事实。不仅针对</w:t>
      </w:r>
      <w:r>
        <w:t>47</w:t>
      </w:r>
      <w:r>
        <w:t>件虚假诉讼案件作出监督决定，还将办案中发现的律师涉嫌刑事犯罪线索及时移送公安机关，目前公安机关已对</w:t>
      </w:r>
      <w:r>
        <w:t>2</w:t>
      </w:r>
      <w:r>
        <w:t>名律师刑事立案。</w:t>
      </w:r>
    </w:p>
    <w:p w:rsidR="008A02CC" w:rsidRPr="002F7BC3" w:rsidRDefault="008A02CC" w:rsidP="008A02CC">
      <w:pPr>
        <w:spacing w:line="247" w:lineRule="auto"/>
        <w:ind w:firstLineChars="200" w:firstLine="420"/>
        <w:jc w:val="left"/>
      </w:pPr>
      <w:r>
        <w:t>检察机关建议：一是加大对虚假诉讼惩罚力度。为虚假诉讼受害人提供便利，鼓励其对恶意提起虚假诉讼的行为人提起民事侵权损害赔偿诉讼，让违法行为人无利可图。增加虚假诉讼参与人违法成本，对于扰乱诉讼秩序的行为从严制裁，依法加大刑事犯罪打击力度。二是强化部门联动，提升监督合力。强化与公安机关、法院联动，建立信息沟通联动机制，建立民事案件查询平台，利用大数据分析，加强线索排查，及早识别与打击虚假诉讼。针对虚假诉讼多发生在民间借贷领域，多与职业放贷人有关，建议法院确立职业放贷人名录。三是加强社会诚信体系建设。通过微信、微</w:t>
      </w:r>
      <w:r>
        <w:rPr>
          <w:rFonts w:hint="eastAsia"/>
        </w:rPr>
        <w:t>博、头条号等新媒体对虚假诉讼的危害及法律责任，结合营造法治化营商环境的专项活动，开展普法宣传。对于已经查实的虚假诉讼案件，依法将实施虚假诉讼的当事人及代理人在社会上进行曝光，将虚假诉讼行为纳入社会诚信体系范围之内，建立“黑名单”制度。</w:t>
      </w:r>
    </w:p>
    <w:p w:rsidR="008A02CC" w:rsidRDefault="008A02CC" w:rsidP="008A02CC">
      <w:pPr>
        <w:spacing w:line="247" w:lineRule="auto"/>
        <w:ind w:firstLineChars="200" w:firstLine="420"/>
        <w:jc w:val="right"/>
      </w:pPr>
      <w:r w:rsidRPr="002F7BC3">
        <w:rPr>
          <w:rFonts w:hint="eastAsia"/>
        </w:rPr>
        <w:t>马鞍山市人民检察院</w:t>
      </w:r>
      <w:r>
        <w:rPr>
          <w:rFonts w:hint="eastAsia"/>
        </w:rPr>
        <w:t>2023-08-30</w:t>
      </w:r>
    </w:p>
    <w:p w:rsidR="008A02CC" w:rsidRDefault="008A02CC" w:rsidP="0051359B">
      <w:pPr>
        <w:sectPr w:rsidR="008A02CC" w:rsidSect="0051359B">
          <w:type w:val="continuous"/>
          <w:pgSz w:w="11906" w:h="16838"/>
          <w:pgMar w:top="1644" w:right="1236" w:bottom="1418" w:left="1814" w:header="851" w:footer="907" w:gutter="0"/>
          <w:pgNumType w:start="1"/>
          <w:cols w:space="720"/>
          <w:docGrid w:type="lines" w:linePitch="341" w:charSpace="2373"/>
        </w:sectPr>
      </w:pPr>
    </w:p>
    <w:p w:rsidR="005A3769" w:rsidRDefault="005A3769"/>
    <w:sectPr w:rsidR="005A37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02CC"/>
    <w:rsid w:val="005A3769"/>
    <w:rsid w:val="008A02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02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A02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1790</Characters>
  <Application>Microsoft Office Word</Application>
  <DocSecurity>0</DocSecurity>
  <Lines>14</Lines>
  <Paragraphs>4</Paragraphs>
  <ScaleCrop>false</ScaleCrop>
  <Company>微软中国</Company>
  <LinksUpToDate>false</LinksUpToDate>
  <CharactersWithSpaces>2100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2023-09-16T05:45:00Z</dcterms:created>
</cp:coreProperties>
</file>