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3F6" w:rsidRPr="00965395" w:rsidRDefault="00E853F6" w:rsidP="00965395">
      <w:pPr>
        <w:pStyle w:val="1"/>
        <w:spacing w:line="247" w:lineRule="auto"/>
      </w:pPr>
      <w:r w:rsidRPr="00965395">
        <w:rPr>
          <w:rFonts w:hint="eastAsia"/>
        </w:rPr>
        <w:t>离石区检察院六项举措推动侦查监督与协作配合办公室工作走深走实</w:t>
      </w:r>
    </w:p>
    <w:p w:rsidR="00E853F6" w:rsidRDefault="00E853F6" w:rsidP="00E853F6">
      <w:pPr>
        <w:spacing w:line="247" w:lineRule="auto"/>
        <w:ind w:firstLineChars="200" w:firstLine="420"/>
        <w:jc w:val="left"/>
      </w:pPr>
      <w:r>
        <w:rPr>
          <w:rFonts w:hint="eastAsia"/>
        </w:rPr>
        <w:t>今年以来，离石区院高起点谋划、高姿态推进、高标准落实侦协办工作，聚焦机制实质化、实体化运行，通过六项举措助力提升检察监督质效，让监督更有力，让协作更有效，推动侦查监督与协作配合办公室（以下简称“侦协办”）工作走深走实。</w:t>
      </w:r>
    </w:p>
    <w:p w:rsidR="00E853F6" w:rsidRDefault="00E853F6" w:rsidP="00E853F6">
      <w:pPr>
        <w:spacing w:line="247" w:lineRule="auto"/>
        <w:ind w:firstLineChars="200" w:firstLine="420"/>
        <w:jc w:val="left"/>
      </w:pPr>
      <w:r>
        <w:rPr>
          <w:rFonts w:hint="eastAsia"/>
        </w:rPr>
        <w:t>定期巡查，促进规范执法</w:t>
      </w:r>
    </w:p>
    <w:p w:rsidR="00E853F6" w:rsidRDefault="00E853F6" w:rsidP="00E853F6">
      <w:pPr>
        <w:spacing w:line="247" w:lineRule="auto"/>
        <w:ind w:firstLineChars="200" w:firstLine="420"/>
        <w:jc w:val="left"/>
      </w:pPr>
      <w:r>
        <w:rPr>
          <w:rFonts w:hint="eastAsia"/>
        </w:rPr>
        <w:t>出台《侦查监督与协作配合办公室定期巡查制度》，运用“线上</w:t>
      </w:r>
      <w:r>
        <w:t>+</w:t>
      </w:r>
      <w:r>
        <w:t>线下</w:t>
      </w:r>
      <w:r>
        <w:t>”</w:t>
      </w:r>
      <w:r>
        <w:t>相结合的巡查方式，实现监督全覆盖。紧盯案件受理后</w:t>
      </w:r>
      <w:r>
        <w:t>7</w:t>
      </w:r>
      <w:r>
        <w:t>日内、</w:t>
      </w:r>
      <w:r>
        <w:t>30</w:t>
      </w:r>
      <w:r>
        <w:t>日内未立案的案件，依据挂案时间长短，深入各队、所开展</w:t>
      </w:r>
      <w:r>
        <w:t>“</w:t>
      </w:r>
      <w:r>
        <w:t>一月一巡查、三个月一巡查和半年一巡查的方式</w:t>
      </w:r>
      <w:r>
        <w:t>”</w:t>
      </w:r>
      <w:r>
        <w:t>，对办案部门在受案、立案、侦查活动以及对人身财产强制性措施适用进行监督检查。对侦查机关消极侦查行为提出了纠正违法通知书，情节严重的提出了建议变更承办人的检察意见，提升了执法规范化水平。</w:t>
      </w:r>
    </w:p>
    <w:p w:rsidR="00E853F6" w:rsidRDefault="00E853F6" w:rsidP="00E853F6">
      <w:pPr>
        <w:spacing w:line="247" w:lineRule="auto"/>
        <w:ind w:firstLineChars="200" w:firstLine="420"/>
        <w:jc w:val="left"/>
      </w:pPr>
      <w:r>
        <w:rPr>
          <w:rFonts w:hint="eastAsia"/>
        </w:rPr>
        <w:t>类案监督，强化监督质效</w:t>
      </w:r>
    </w:p>
    <w:p w:rsidR="00E853F6" w:rsidRDefault="00E853F6" w:rsidP="00E853F6">
      <w:pPr>
        <w:spacing w:line="247" w:lineRule="auto"/>
        <w:ind w:firstLineChars="200" w:firstLine="420"/>
        <w:jc w:val="left"/>
      </w:pPr>
      <w:r>
        <w:rPr>
          <w:rFonts w:hint="eastAsia"/>
        </w:rPr>
        <w:t>聚焦检察工作新要求，贯彻落实最高检“大数据赋能”战略，充分运用公安警综平台和检察系统平台，挖掘办案系统数据潜能，开展类案监督，为监督提质增效。今年以来，区检察院系统梳理了市公安局交警支队近三年来办理的危险驾驶类案件，针对普遍存在的执法不规范问题，向市公安局交警支队公开送达了危险驾驶案类案监督检察建议，并提出相应的整改建议，严格规范危险驾驶类案件办案程序。</w:t>
      </w:r>
    </w:p>
    <w:p w:rsidR="00E853F6" w:rsidRDefault="00E853F6" w:rsidP="00E853F6">
      <w:pPr>
        <w:spacing w:line="247" w:lineRule="auto"/>
        <w:ind w:firstLineChars="200" w:firstLine="420"/>
        <w:jc w:val="left"/>
      </w:pPr>
      <w:r>
        <w:rPr>
          <w:rFonts w:hint="eastAsia"/>
        </w:rPr>
        <w:t>线索移送，催生融合动力</w:t>
      </w:r>
    </w:p>
    <w:p w:rsidR="00E853F6" w:rsidRDefault="00E853F6" w:rsidP="00E853F6">
      <w:pPr>
        <w:spacing w:line="247" w:lineRule="auto"/>
        <w:ind w:firstLineChars="200" w:firstLine="420"/>
        <w:jc w:val="left"/>
      </w:pPr>
      <w:r>
        <w:rPr>
          <w:rFonts w:hint="eastAsia"/>
        </w:rPr>
        <w:t>破解“门户之隔”，构建“四大检察”之间线索“同步发现、双向移送、协同办理”模式，建立“捕、诉、监、治”一体化办案监督机制，融合四大检察实现内部一体信息共享，凝聚检察一体化工作合力。今年以来，以食品药品类犯罪案件为切入点，全面梳理了公安机关办理的此类案件，第一时间引导侦查取证，并将公益诉讼线索通过刑事检察部移送至公益诉讼部门，在提起公诉的同时，对损害社会公共利益的行为也提起公益诉讼，推动了案件的依法妥善处理。</w:t>
      </w:r>
    </w:p>
    <w:p w:rsidR="00E853F6" w:rsidRDefault="00E853F6" w:rsidP="00E853F6">
      <w:pPr>
        <w:spacing w:line="247" w:lineRule="auto"/>
        <w:ind w:firstLineChars="200" w:firstLine="420"/>
        <w:jc w:val="left"/>
      </w:pPr>
      <w:r>
        <w:rPr>
          <w:rFonts w:hint="eastAsia"/>
        </w:rPr>
        <w:t>跟踪监督，降低诉前羁押率</w:t>
      </w:r>
    </w:p>
    <w:p w:rsidR="00E853F6" w:rsidRDefault="00E853F6" w:rsidP="00E853F6">
      <w:pPr>
        <w:spacing w:line="247" w:lineRule="auto"/>
        <w:ind w:firstLineChars="200" w:firstLine="420"/>
        <w:jc w:val="left"/>
      </w:pPr>
      <w:r>
        <w:rPr>
          <w:rFonts w:hint="eastAsia"/>
        </w:rPr>
        <w:t>针对本院诉前羁押率高居不下的问题，我院把刑事拘留案件和逮捕案件作为后续跟踪监督的重点。侦协办通过警综平台对刑事拘留届满</w:t>
      </w:r>
      <w:r>
        <w:t>7</w:t>
      </w:r>
      <w:r>
        <w:t>日和</w:t>
      </w:r>
      <w:r>
        <w:t>30</w:t>
      </w:r>
      <w:r>
        <w:t>日的案件进行跟踪，对证据已经固定，采取取保候审不致发生危险性的案件，建议公安机关直接移送审查起诉；定期对退回补充侦查意见、继续侦查取证意见跟踪监督，及时掌握案件证据的变化情况。对证据已经固定，但民事部分未达成赔偿协议的，符合适用赔偿保证金制度的案件，建议承办检察官提存保证金后变更强制措施。对逮捕案件侦查期限届满的案件，在期限届满前十五日向案件承办人发出提示函，提示承办人对案件的羁押</w:t>
      </w:r>
      <w:r>
        <w:rPr>
          <w:rFonts w:hint="eastAsia"/>
        </w:rPr>
        <w:t>必要性进行审查，如发现有符合变更强制措施的案件及时进行审查。</w:t>
      </w:r>
    </w:p>
    <w:p w:rsidR="00E853F6" w:rsidRDefault="00E853F6" w:rsidP="00E853F6">
      <w:pPr>
        <w:spacing w:line="247" w:lineRule="auto"/>
        <w:ind w:firstLineChars="200" w:firstLine="420"/>
        <w:jc w:val="left"/>
      </w:pPr>
      <w:r>
        <w:rPr>
          <w:rFonts w:hint="eastAsia"/>
        </w:rPr>
        <w:t>繁简分流，提高速裁适用率</w:t>
      </w:r>
    </w:p>
    <w:p w:rsidR="00E853F6" w:rsidRDefault="00E853F6" w:rsidP="00E853F6">
      <w:pPr>
        <w:spacing w:line="247" w:lineRule="auto"/>
        <w:ind w:firstLineChars="200" w:firstLine="420"/>
        <w:jc w:val="left"/>
      </w:pPr>
      <w:r>
        <w:rPr>
          <w:rFonts w:hint="eastAsia"/>
        </w:rPr>
        <w:t>加强“横向联动”，凝聚公检共识，以侦协办为平台，坚持“简案快办、繁案精办”，建立“介入—分流—受案”与“补证—再分流—受案”的公检双层甄别过滤机制，推动繁简分流。根据案件本身难易程度、刑罚轻重、认罪认罚等情形，将情节较轻的危险驾驶、盗窃、故意伤害（轻伤）等“简案”纳入侦协办跟踪督促范围，适时介入及时固定证据，为适用速裁程序，快办快审快结提供保障。在案件移送审查起诉后由案管中心经初步审查后在该类案件起诉意见书上加盖“速裁“章，做到应用尽用。该机制适用以来，该类案件速裁程序适用率</w:t>
      </w:r>
      <w:r>
        <w:t>90%</w:t>
      </w:r>
      <w:r>
        <w:t>以上。</w:t>
      </w:r>
    </w:p>
    <w:p w:rsidR="00E853F6" w:rsidRDefault="00E853F6" w:rsidP="00E853F6">
      <w:pPr>
        <w:spacing w:line="247" w:lineRule="auto"/>
        <w:ind w:firstLineChars="200" w:firstLine="420"/>
        <w:jc w:val="left"/>
      </w:pPr>
      <w:r>
        <w:rPr>
          <w:rFonts w:hint="eastAsia"/>
        </w:rPr>
        <w:t>专项监督，助力挂案清理</w:t>
      </w:r>
    </w:p>
    <w:p w:rsidR="00E853F6" w:rsidRDefault="00E853F6" w:rsidP="00E853F6">
      <w:pPr>
        <w:spacing w:line="247" w:lineRule="auto"/>
        <w:ind w:firstLineChars="200" w:firstLine="420"/>
        <w:jc w:val="left"/>
      </w:pPr>
      <w:r>
        <w:rPr>
          <w:rFonts w:hint="eastAsia"/>
        </w:rPr>
        <w:t>我院侦协办以“两项监督”专项活动为契机，对近三年来存疑不捕的案件进行了全面的调查摸底，并按诉讼程序进行分类梳理。对存疑不捕的案件督促公安机关按照检察院的补充侦查意见书进行补充侦查；对经补充侦查后达到事实清楚、证据确凿充分证明标准的，符合逮捕条件的，重新报捕，符合非羁押诉讼条件的，移送起诉；对经补充侦查后无法认定犯罪嫌疑人有犯罪行为的，按照疑罪从无的原则，作出撤案处理或其他处理；对个别的疑难复杂案件无法处理的案件，侦查机关向检察院说明情况后，双方共同协商制定相应的处理对策。</w:t>
      </w:r>
    </w:p>
    <w:p w:rsidR="00E853F6" w:rsidRDefault="00E853F6" w:rsidP="00E853F6">
      <w:pPr>
        <w:spacing w:line="247" w:lineRule="auto"/>
        <w:ind w:firstLineChars="200" w:firstLine="420"/>
        <w:jc w:val="left"/>
      </w:pPr>
      <w:r>
        <w:rPr>
          <w:rFonts w:hint="eastAsia"/>
        </w:rPr>
        <w:t>下一步，离石区院将进一步凝聚共识，加强与公安机关沟通联系，推动侦协办公室实质化、规范化运行，以有力配合、更实监督促进办案质效提升。</w:t>
      </w:r>
    </w:p>
    <w:p w:rsidR="00E853F6" w:rsidRDefault="00E853F6" w:rsidP="00E853F6">
      <w:pPr>
        <w:spacing w:line="247" w:lineRule="auto"/>
        <w:ind w:firstLineChars="200" w:firstLine="420"/>
        <w:jc w:val="right"/>
      </w:pPr>
      <w:r>
        <w:rPr>
          <w:rFonts w:hint="eastAsia"/>
        </w:rPr>
        <w:t>黄河新闻网</w:t>
      </w:r>
      <w:r>
        <w:rPr>
          <w:rFonts w:hint="eastAsia"/>
        </w:rPr>
        <w:t>2023-08-15</w:t>
      </w:r>
    </w:p>
    <w:p w:rsidR="00E853F6" w:rsidRDefault="00E853F6" w:rsidP="0051359B">
      <w:pPr>
        <w:sectPr w:rsidR="00E853F6" w:rsidSect="0051359B">
          <w:type w:val="continuous"/>
          <w:pgSz w:w="11906" w:h="16838"/>
          <w:pgMar w:top="1644" w:right="1236" w:bottom="1418" w:left="1814" w:header="851" w:footer="907" w:gutter="0"/>
          <w:pgNumType w:start="1"/>
          <w:cols w:space="720"/>
          <w:docGrid w:type="lines" w:linePitch="341" w:charSpace="2373"/>
        </w:sectPr>
      </w:pPr>
    </w:p>
    <w:p w:rsidR="000A1C7F" w:rsidRDefault="000A1C7F"/>
    <w:sectPr w:rsidR="000A1C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53F6"/>
    <w:rsid w:val="000A1C7F"/>
    <w:rsid w:val="00E853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53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853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1414</Characters>
  <Application>Microsoft Office Word</Application>
  <DocSecurity>0</DocSecurity>
  <Lines>11</Lines>
  <Paragraphs>3</Paragraphs>
  <ScaleCrop>false</ScaleCrop>
  <Company>微软中国</Company>
  <LinksUpToDate>false</LinksUpToDate>
  <CharactersWithSpaces>1658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2023-09-16T05:45:00Z</dcterms:created>
</cp:coreProperties>
</file>