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EF5" w:rsidRDefault="00CE2EF5" w:rsidP="006E4CC1">
      <w:pPr>
        <w:pStyle w:val="1"/>
      </w:pPr>
      <w:r>
        <w:rPr>
          <w:rFonts w:hint="eastAsia"/>
        </w:rPr>
        <w:t>运城</w:t>
      </w:r>
      <w:r w:rsidRPr="00775E56">
        <w:rPr>
          <w:rFonts w:hint="eastAsia"/>
        </w:rPr>
        <w:t>平陆县人民法院以法治“硬举措”优化营商“软环境”</w:t>
      </w:r>
    </w:p>
    <w:p w:rsidR="00CE2EF5" w:rsidRDefault="00CE2EF5" w:rsidP="006E4CC1">
      <w:r>
        <w:rPr>
          <w:rFonts w:hint="eastAsia"/>
        </w:rPr>
        <w:t xml:space="preserve">　　今年以来，平陆县人民法院牢固树立“法治是最好的营商环境”工作理念，紧紧围绕经济社会发展大局，充分发挥审判职能作用，着力下好“五步棋”，以法治“硬举措”优化营商“软环境”，努力在创优一流法治化营商环境中彰显人民法院的担当作为。</w:t>
      </w:r>
    </w:p>
    <w:p w:rsidR="00CE2EF5" w:rsidRDefault="00CE2EF5" w:rsidP="006E4CC1">
      <w:r>
        <w:rPr>
          <w:rFonts w:hint="eastAsia"/>
        </w:rPr>
        <w:t xml:space="preserve">　　高位推动，下好组织领导“先手棋”。坚决贯彻落实中央、省、市、县各项决策部署，始终把优化法治化营商环境作为“一把手”工程，成立以院长为组长的工作领导小组，将责任分解到部门、落实到个人，确保优化营商环境各项举措落实落地落细。先后召开党组会</w:t>
      </w:r>
      <w:r>
        <w:t>6</w:t>
      </w:r>
      <w:r>
        <w:t>次、全院干警大会</w:t>
      </w:r>
      <w:r>
        <w:t>7</w:t>
      </w:r>
      <w:r>
        <w:t>次进行安排部署和推动落实，制订《关于开展整治</w:t>
      </w:r>
      <w:r>
        <w:t>“</w:t>
      </w:r>
      <w:r>
        <w:t>吃拿卡要</w:t>
      </w:r>
      <w:r>
        <w:t>”</w:t>
      </w:r>
      <w:r>
        <w:t>优化营商环境专项行动实施方案》《优化法治化营商环境</w:t>
      </w:r>
      <w:r>
        <w:t>2023</w:t>
      </w:r>
      <w:r>
        <w:t>专项行动实施方案》《关于进一步提升法治化营商环境的工作方案》，推出惠企具体措施</w:t>
      </w:r>
      <w:r>
        <w:t>8</w:t>
      </w:r>
      <w:r>
        <w:t>项，不断推动优化法治化营商环境责任落实、措施落地。</w:t>
      </w:r>
    </w:p>
    <w:p w:rsidR="00CE2EF5" w:rsidRDefault="00CE2EF5" w:rsidP="006E4CC1">
      <w:r>
        <w:rPr>
          <w:rFonts w:hint="eastAsia"/>
        </w:rPr>
        <w:t xml:space="preserve">　　公正司法，下好为企纾困“本手棋”。坚持深化拓展“分调裁审”机制。组建“</w:t>
      </w:r>
      <w:r>
        <w:t>1+1+1+1”</w:t>
      </w:r>
      <w:r>
        <w:t>（由</w:t>
      </w:r>
      <w:r>
        <w:t>1</w:t>
      </w:r>
      <w:r>
        <w:t>名员额法官、</w:t>
      </w:r>
      <w:r>
        <w:t>1</w:t>
      </w:r>
      <w:r>
        <w:t>名法官助理、</w:t>
      </w:r>
      <w:r>
        <w:t>1</w:t>
      </w:r>
      <w:r>
        <w:t>名特邀调解员和</w:t>
      </w:r>
      <w:r>
        <w:t>1</w:t>
      </w:r>
      <w:r>
        <w:t>名书记员组成）速裁团队，细化案件繁简分流标准，实现简案快审，繁案精审，大大缩短诉讼时长，提升审判质效。依法审慎审理各类涉企案件，先后办理企业涉诉案件</w:t>
      </w:r>
      <w:r>
        <w:t>164</w:t>
      </w:r>
      <w:r>
        <w:t>件，平等保护市场主体。扎实开展</w:t>
      </w:r>
      <w:r>
        <w:t>“</w:t>
      </w:r>
      <w:r>
        <w:t>惠企清积</w:t>
      </w:r>
      <w:r>
        <w:t xml:space="preserve"> </w:t>
      </w:r>
      <w:r>
        <w:t>善意执行</w:t>
      </w:r>
      <w:r>
        <w:t>”</w:t>
      </w:r>
      <w:r>
        <w:t>集中攻坚行动，执行到位金额</w:t>
      </w:r>
      <w:r>
        <w:t>5524.07</w:t>
      </w:r>
      <w:r>
        <w:t>万元，到位率</w:t>
      </w:r>
      <w:r>
        <w:t>50.91%</w:t>
      </w:r>
      <w:r>
        <w:t>。用足用活信用惩戒措施，发布失信名单</w:t>
      </w:r>
      <w:r>
        <w:t>138</w:t>
      </w:r>
      <w:r>
        <w:t>人次，限制被执行人高消费</w:t>
      </w:r>
      <w:r>
        <w:t>188</w:t>
      </w:r>
      <w:r>
        <w:t>人次。秉持善意文明司法理念，采</w:t>
      </w:r>
      <w:r>
        <w:rPr>
          <w:rFonts w:hint="eastAsia"/>
        </w:rPr>
        <w:t>取活封活扣方式，妥善化解</w:t>
      </w:r>
      <w:r>
        <w:t>20</w:t>
      </w:r>
      <w:r>
        <w:t>多起案件，帮助企业回归正常经营轨道，实现</w:t>
      </w:r>
      <w:r>
        <w:t>“</w:t>
      </w:r>
      <w:r>
        <w:t>多赢</w:t>
      </w:r>
      <w:r>
        <w:t>”</w:t>
      </w:r>
      <w:r>
        <w:t>效果。</w:t>
      </w:r>
    </w:p>
    <w:p w:rsidR="00CE2EF5" w:rsidRDefault="00CE2EF5" w:rsidP="006E4CC1">
      <w:r>
        <w:rPr>
          <w:rFonts w:hint="eastAsia"/>
        </w:rPr>
        <w:t xml:space="preserve">　　源头治理，下好涉企解纷“巧手棋”。坚持和发展新时代“枫桥经验”，把非诉讼纠纷解决机制挺在前面，以人民法院调解平台为载体，加强与县工商联、中小企业局、人社局等部门联动，与县工商联联合出台《善于建立常态化联络衔接机制的工作意见》，建立健全涉企多元解纷机制，完善“特邀调解”制度，善用“人民调解</w:t>
      </w:r>
      <w:r>
        <w:t>+</w:t>
      </w:r>
      <w:r>
        <w:t>司法确认</w:t>
      </w:r>
      <w:r>
        <w:t>”</w:t>
      </w:r>
      <w:r>
        <w:t>模式，不断推动涉企纠纷解决在诉前，化解在前端。今年以来，已受理涉企诉前调解案件</w:t>
      </w:r>
      <w:r>
        <w:t>315</w:t>
      </w:r>
      <w:r>
        <w:t>件，调解成功</w:t>
      </w:r>
      <w:r>
        <w:t>153</w:t>
      </w:r>
      <w:r>
        <w:t>件，调解率</w:t>
      </w:r>
      <w:r>
        <w:t>48.57%</w:t>
      </w:r>
      <w:r>
        <w:t>。同时，与银行开展座谈交流，针对信用卡办理中存在的片面营销、审查不严，利息、罚息未明</w:t>
      </w:r>
      <w:r>
        <w:rPr>
          <w:rFonts w:hint="eastAsia"/>
        </w:rPr>
        <w:t>确告知信用卡申领人等问题提出司法建议，提升银行风险防控能力，努力从源头上预防该类案件发生。</w:t>
      </w:r>
    </w:p>
    <w:p w:rsidR="00CE2EF5" w:rsidRDefault="00CE2EF5" w:rsidP="006E4CC1">
      <w:r>
        <w:rPr>
          <w:rFonts w:hint="eastAsia"/>
        </w:rPr>
        <w:t xml:space="preserve">　　智慧诉讼，下好涉企诉服“妙手棋”。坚持探索“互联网司法”新模式，大力推行网上立案、线上保全、云端庭审、隔空调解、掌上执行等线上司法服务，最大限度解决企业急难愁盼。持续优化服务举措，畅通涉企“绿色服务”通道，为企业提供诉讼服务指导和法律风险提示，实现一门通服、一站通办、一号通联的全天候全地域全流程诉讼服务，让企业切身感受“指尖诉讼”的便利。今年以来，涉企案件网上立案</w:t>
      </w:r>
      <w:r>
        <w:t>75</w:t>
      </w:r>
      <w:r>
        <w:t>件，电子送达</w:t>
      </w:r>
      <w:r>
        <w:t>353</w:t>
      </w:r>
      <w:r>
        <w:t>人次，邮政集约送达</w:t>
      </w:r>
      <w:r>
        <w:t>140</w:t>
      </w:r>
      <w:r>
        <w:t>人次，云调解</w:t>
      </w:r>
      <w:r>
        <w:t>153</w:t>
      </w:r>
      <w:r>
        <w:t>件，云庭审</w:t>
      </w:r>
      <w:r>
        <w:t>3</w:t>
      </w:r>
      <w:r>
        <w:t>场，真正做到</w:t>
      </w:r>
      <w:r>
        <w:t>“</w:t>
      </w:r>
      <w:r>
        <w:t>让数据多跑路，让群众少跑腿</w:t>
      </w:r>
      <w:r>
        <w:t>”</w:t>
      </w:r>
      <w:r>
        <w:t>。积极开展司法救助，为涉</w:t>
      </w:r>
      <w:r>
        <w:rPr>
          <w:rFonts w:hint="eastAsia"/>
        </w:rPr>
        <w:t>企案件缓交诉讼费</w:t>
      </w:r>
      <w:r>
        <w:t>11</w:t>
      </w:r>
      <w:r>
        <w:t>案</w:t>
      </w:r>
      <w:r>
        <w:t>45826</w:t>
      </w:r>
      <w:r>
        <w:t>元。</w:t>
      </w:r>
    </w:p>
    <w:p w:rsidR="00CE2EF5" w:rsidRDefault="00CE2EF5" w:rsidP="006E4CC1">
      <w:r>
        <w:rPr>
          <w:rFonts w:hint="eastAsia"/>
        </w:rPr>
        <w:t xml:space="preserve">　　送法入企，下好联企服务“后手棋”。坚持打造“线上</w:t>
      </w:r>
      <w:r>
        <w:t>+</w:t>
      </w:r>
      <w:r>
        <w:t>线下</w:t>
      </w:r>
      <w:r>
        <w:t>”</w:t>
      </w:r>
      <w:r>
        <w:t>多维普法体系，在线上开设</w:t>
      </w:r>
      <w:r>
        <w:t>“</w:t>
      </w:r>
      <w:r>
        <w:t>普法宣传</w:t>
      </w:r>
      <w:r>
        <w:t>”“</w:t>
      </w:r>
      <w:r>
        <w:t>优化营商环境</w:t>
      </w:r>
      <w:r>
        <w:t>”</w:t>
      </w:r>
      <w:r>
        <w:t>专栏，定期公布典型案例及典型经验做法，强化市场主体风险防范意识，提高中小企业管理水平；线下常态化深入企业，采取一名班子成员包联一家企业的</w:t>
      </w:r>
      <w:r>
        <w:t>“</w:t>
      </w:r>
      <w:r>
        <w:t>一对一</w:t>
      </w:r>
      <w:r>
        <w:t>”</w:t>
      </w:r>
      <w:r>
        <w:t>模式，主动为包联企业开展</w:t>
      </w:r>
      <w:r>
        <w:t>“</w:t>
      </w:r>
      <w:r>
        <w:t>法治体检</w:t>
      </w:r>
      <w:r>
        <w:t>”</w:t>
      </w:r>
      <w:r>
        <w:t>，提供精准司法服务。持续开展</w:t>
      </w:r>
      <w:r>
        <w:t>“</w:t>
      </w:r>
      <w:r>
        <w:t>公众开放日</w:t>
      </w:r>
      <w:r>
        <w:t>”</w:t>
      </w:r>
      <w:r>
        <w:t>活动，积极邀请县工商联、企业代表旁听涉企案件审理，让企业</w:t>
      </w:r>
      <w:r>
        <w:t>“</w:t>
      </w:r>
      <w:r>
        <w:t>零距离</w:t>
      </w:r>
      <w:r>
        <w:t>”</w:t>
      </w:r>
      <w:r>
        <w:t>接受法治教育。目前，该院已组织开展入企普法宣传</w:t>
      </w:r>
      <w:r>
        <w:t>18</w:t>
      </w:r>
      <w:r>
        <w:t>次，发放宣传资料</w:t>
      </w:r>
      <w:r>
        <w:t>2500</w:t>
      </w:r>
      <w:r>
        <w:t>余份，解决涉法问题</w:t>
      </w:r>
      <w:r>
        <w:t>48</w:t>
      </w:r>
      <w:r>
        <w:t>个，不断提升企</w:t>
      </w:r>
      <w:r>
        <w:rPr>
          <w:rFonts w:hint="eastAsia"/>
        </w:rPr>
        <w:t>业依法经营、规范管理、合规发展能力。</w:t>
      </w:r>
    </w:p>
    <w:p w:rsidR="00CE2EF5" w:rsidRDefault="00CE2EF5" w:rsidP="006E4CC1">
      <w:pPr>
        <w:ind w:firstLine="420"/>
      </w:pPr>
      <w:r>
        <w:rPr>
          <w:rFonts w:hint="eastAsia"/>
        </w:rPr>
        <w:t>优化营商环境永远在路上。平陆县人民法院将充分发挥审判职能作用，进一步优化司法服务举措，畅通企业诉讼渠道，引导企业完善各类制度，助力企业防范化解金融风险，让市场主体放心投资、安心经营、专心创业，为推进县域经济高质量发展贡献法院力量。</w:t>
      </w:r>
    </w:p>
    <w:p w:rsidR="00CE2EF5" w:rsidRDefault="00CE2EF5" w:rsidP="006E4CC1">
      <w:pPr>
        <w:ind w:firstLine="420"/>
        <w:jc w:val="right"/>
      </w:pPr>
      <w:r w:rsidRPr="00775E56">
        <w:rPr>
          <w:rFonts w:hint="eastAsia"/>
        </w:rPr>
        <w:t>运城日报</w:t>
      </w:r>
      <w:r>
        <w:rPr>
          <w:rFonts w:hint="eastAsia"/>
        </w:rPr>
        <w:t xml:space="preserve"> 2023-9-1</w:t>
      </w:r>
    </w:p>
    <w:p w:rsidR="00CE2EF5" w:rsidRDefault="00CE2EF5" w:rsidP="00AC7F2B">
      <w:pPr>
        <w:sectPr w:rsidR="00CE2EF5" w:rsidSect="00AC7F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3EC5" w:rsidRDefault="00A33EC5"/>
    <w:sectPr w:rsidR="00A33E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2EF5"/>
    <w:rsid w:val="00A33EC5"/>
    <w:rsid w:val="00CE2E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2E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2E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1426</Characters>
  <Application>Microsoft Office Word</Application>
  <DocSecurity>0</DocSecurity>
  <Lines>11</Lines>
  <Paragraphs>3</Paragraphs>
  <ScaleCrop>false</ScaleCrop>
  <Company>微软中国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2023-09-13T09:44:00Z</dcterms:created>
</cp:coreProperties>
</file>