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66B" w:rsidRDefault="000B266B" w:rsidP="00FD6FDE">
      <w:pPr>
        <w:pStyle w:val="1"/>
      </w:pPr>
      <w:r w:rsidRPr="00835752">
        <w:rPr>
          <w:rFonts w:hint="eastAsia"/>
        </w:rPr>
        <w:t>武定县财政局：坚持党建引领做实财政民生实事</w:t>
      </w:r>
    </w:p>
    <w:p w:rsidR="000B266B" w:rsidRDefault="000B266B" w:rsidP="000B266B">
      <w:pPr>
        <w:ind w:firstLineChars="200" w:firstLine="420"/>
        <w:jc w:val="left"/>
      </w:pPr>
      <w:r>
        <w:t>2023</w:t>
      </w:r>
      <w:r>
        <w:t>年是全面贯彻落实党的二十大精神的开局之年，也是落实省委</w:t>
      </w:r>
      <w:r>
        <w:t>“3815”</w:t>
      </w:r>
      <w:r>
        <w:t>战略发展目标中</w:t>
      </w:r>
      <w:r>
        <w:t>“</w:t>
      </w:r>
      <w:r>
        <w:t>三年上台阶</w:t>
      </w:r>
      <w:r>
        <w:t>”</w:t>
      </w:r>
      <w:r>
        <w:t>和</w:t>
      </w:r>
      <w:r>
        <w:t>“</w:t>
      </w:r>
      <w:r>
        <w:t>八年大发展</w:t>
      </w:r>
      <w:r>
        <w:t>”</w:t>
      </w:r>
      <w:r>
        <w:t>的开局之年，云南省武定县坚持以政治建设为引领，以</w:t>
      </w:r>
      <w:r>
        <w:t>“</w:t>
      </w:r>
      <w:r>
        <w:t>围绕中心、建设队伍、服务群众</w:t>
      </w:r>
      <w:r>
        <w:t>”</w:t>
      </w:r>
      <w:r>
        <w:t>为主要任务，以践行</w:t>
      </w:r>
      <w:r>
        <w:t>“</w:t>
      </w:r>
      <w:r>
        <w:t>三表率一模范</w:t>
      </w:r>
      <w:r>
        <w:t>”</w:t>
      </w:r>
      <w:r>
        <w:t>为目标，在抓融会、抓规范、抓特色上着力，全县党政机关坚持带头过紧日子，腾出更多财力办好民生实事，实现党建工作与中心工作、业务工作深度融合，以行业发展实绩体现学习贯彻党的二十大精神成果。</w:t>
      </w:r>
    </w:p>
    <w:p w:rsidR="000B266B" w:rsidRDefault="000B266B" w:rsidP="000B266B">
      <w:pPr>
        <w:ind w:firstLineChars="200" w:firstLine="420"/>
        <w:jc w:val="left"/>
      </w:pPr>
      <w:r>
        <w:rPr>
          <w:rFonts w:hint="eastAsia"/>
        </w:rPr>
        <w:t>坚持为民情怀，优先保障民生支出。始终坚持以人民为中心的发展思想，围绕县委、县人民政府确定的民生社会事业中存在的短板，优化支出结构，努力在发展中改善民生，</w:t>
      </w:r>
      <w:r>
        <w:t>2023</w:t>
      </w:r>
      <w:r>
        <w:t>年上半年完成民生支出</w:t>
      </w:r>
      <w:r>
        <w:t>106493</w:t>
      </w:r>
      <w:r>
        <w:t>万元，占一般公共预算支出的</w:t>
      </w:r>
      <w:r>
        <w:t>80.61%</w:t>
      </w:r>
      <w:r>
        <w:t>。</w:t>
      </w:r>
    </w:p>
    <w:p w:rsidR="000B266B" w:rsidRDefault="000B266B" w:rsidP="000B266B">
      <w:pPr>
        <w:ind w:firstLineChars="200" w:firstLine="420"/>
        <w:jc w:val="left"/>
      </w:pPr>
      <w:r>
        <w:rPr>
          <w:rFonts w:hint="eastAsia"/>
        </w:rPr>
        <w:t>压实担当责任，切实兜牢“三保”底线。武定县扛牢压实“保三保”责任，定期研究“三保”预算执行中存在的困难和问题，严格执行库款保障第一顺序原则，坚决兜住基层“三保”底线。</w:t>
      </w:r>
      <w:r>
        <w:t>1</w:t>
      </w:r>
      <w:r>
        <w:t>至</w:t>
      </w:r>
      <w:r>
        <w:t>6</w:t>
      </w:r>
      <w:r>
        <w:t>月，全县</w:t>
      </w:r>
      <w:r>
        <w:t>“</w:t>
      </w:r>
      <w:r>
        <w:t>三保</w:t>
      </w:r>
      <w:r>
        <w:t>”</w:t>
      </w:r>
      <w:r>
        <w:t>支出</w:t>
      </w:r>
      <w:r>
        <w:t>69515.66</w:t>
      </w:r>
      <w:r>
        <w:t>万元，其中保工资</w:t>
      </w:r>
      <w:r>
        <w:t>46904.4</w:t>
      </w:r>
      <w:r>
        <w:t>万元，保运转</w:t>
      </w:r>
      <w:r>
        <w:t>2745.95</w:t>
      </w:r>
      <w:r>
        <w:t>万元，保基本民生</w:t>
      </w:r>
      <w:r>
        <w:t>19865.31</w:t>
      </w:r>
      <w:r>
        <w:t>万元。通过强化县级</w:t>
      </w:r>
      <w:r>
        <w:t>“</w:t>
      </w:r>
      <w:r>
        <w:t>三保</w:t>
      </w:r>
      <w:r>
        <w:t>”</w:t>
      </w:r>
      <w:r>
        <w:t>执行监测分析及库款优先保障，实现工资及时发放、机构正常运转、基本民生按时足额兑付。</w:t>
      </w:r>
    </w:p>
    <w:p w:rsidR="000B266B" w:rsidRDefault="000B266B" w:rsidP="000B266B">
      <w:pPr>
        <w:ind w:firstLineChars="200" w:firstLine="420"/>
        <w:jc w:val="left"/>
      </w:pPr>
      <w:r>
        <w:rPr>
          <w:rFonts w:hint="eastAsia"/>
        </w:rPr>
        <w:t>加大资金投入，促进社保支出稳定增长。认真落实优抚及城乡最低生活保障制度，持续做好困难群众基本生活救助，切实解决好群众“急难愁盼”的问题。</w:t>
      </w:r>
      <w:r>
        <w:t>1</w:t>
      </w:r>
      <w:r>
        <w:t>至</w:t>
      </w:r>
      <w:r>
        <w:t>6</w:t>
      </w:r>
      <w:r>
        <w:t>月，累计完成社会保障和就业支出</w:t>
      </w:r>
      <w:r>
        <w:t>24157</w:t>
      </w:r>
      <w:r>
        <w:t>万元，比上年同期</w:t>
      </w:r>
      <w:r>
        <w:t>19645</w:t>
      </w:r>
      <w:r>
        <w:t>万元增支</w:t>
      </w:r>
      <w:r>
        <w:t>4512</w:t>
      </w:r>
      <w:r>
        <w:t>万元，增长</w:t>
      </w:r>
      <w:r>
        <w:t>23%</w:t>
      </w:r>
      <w:r>
        <w:t>。</w:t>
      </w:r>
    </w:p>
    <w:p w:rsidR="000B266B" w:rsidRDefault="000B266B" w:rsidP="000B266B">
      <w:pPr>
        <w:ind w:firstLineChars="200" w:firstLine="420"/>
        <w:jc w:val="left"/>
      </w:pPr>
      <w:r>
        <w:rPr>
          <w:rFonts w:hint="eastAsia"/>
        </w:rPr>
        <w:t>压缩“三公”经费，坚持党政机关过“紧日子”。</w:t>
      </w:r>
      <w:r>
        <w:t>2023</w:t>
      </w:r>
      <w:r>
        <w:t>年继续压减一切不必要的开支，一般性支出压减</w:t>
      </w:r>
      <w:r>
        <w:t>10%</w:t>
      </w:r>
      <w:r>
        <w:t>，按照</w:t>
      </w:r>
      <w:r>
        <w:t>“</w:t>
      </w:r>
      <w:r>
        <w:t>只减不增</w:t>
      </w:r>
      <w:r>
        <w:t>”</w:t>
      </w:r>
      <w:r>
        <w:t>的原则安排</w:t>
      </w:r>
      <w:r>
        <w:t>“</w:t>
      </w:r>
      <w:r>
        <w:t>三公</w:t>
      </w:r>
      <w:r>
        <w:t>”</w:t>
      </w:r>
      <w:r>
        <w:t>经费预算。严格按照预算安排支出，严禁无预算超预算列支，严格规范暂付性款项管理，严禁超出财政承受能力盲目铺摊子上项目。从上半年统计汇总情况看，</w:t>
      </w:r>
      <w:r>
        <w:t>2022</w:t>
      </w:r>
      <w:r>
        <w:t>年部门决算汇总</w:t>
      </w:r>
      <w:r>
        <w:t>“</w:t>
      </w:r>
      <w:r>
        <w:t>三公</w:t>
      </w:r>
      <w:r>
        <w:t>”</w:t>
      </w:r>
      <w:r>
        <w:t>经费支出</w:t>
      </w:r>
      <w:r>
        <w:t>1121.66</w:t>
      </w:r>
      <w:r>
        <w:t>万元，较上年减少</w:t>
      </w:r>
      <w:r>
        <w:t>635.29</w:t>
      </w:r>
      <w:r>
        <w:t>万元，下降</w:t>
      </w:r>
      <w:r>
        <w:t>36.16%</w:t>
      </w:r>
      <w:r>
        <w:t>。其中：公务接待费支出</w:t>
      </w:r>
      <w:r>
        <w:t>309.66</w:t>
      </w:r>
      <w:r>
        <w:t>万元，较上年减少</w:t>
      </w:r>
      <w:r>
        <w:t>277.79</w:t>
      </w:r>
      <w:r>
        <w:t>万元，下降</w:t>
      </w:r>
      <w:r>
        <w:t>47.29%</w:t>
      </w:r>
      <w:r>
        <w:t>。公务用车购置及运行维护费为</w:t>
      </w:r>
      <w:r>
        <w:t>812</w:t>
      </w:r>
      <w:r>
        <w:t>万元，较上年减少</w:t>
      </w:r>
      <w:r>
        <w:t>357.5</w:t>
      </w:r>
      <w:r>
        <w:t>万元，下降</w:t>
      </w:r>
      <w:r>
        <w:t>30.57%</w:t>
      </w:r>
      <w:r>
        <w:t>。全年无因公出国境费用支出。今年</w:t>
      </w:r>
      <w:r>
        <w:t>1</w:t>
      </w:r>
      <w:r>
        <w:t>至</w:t>
      </w:r>
      <w:r>
        <w:t>6</w:t>
      </w:r>
      <w:r>
        <w:t>月，全县一般公共服务支出</w:t>
      </w:r>
      <w:r>
        <w:t>10329</w:t>
      </w:r>
      <w:r>
        <w:t>万元，比上年同期减支</w:t>
      </w:r>
      <w:r>
        <w:t>1627</w:t>
      </w:r>
      <w:r>
        <w:t>万元，下降</w:t>
      </w:r>
      <w:r>
        <w:t>13.6%</w:t>
      </w:r>
      <w:r>
        <w:t>；</w:t>
      </w:r>
      <w:r>
        <w:t>“</w:t>
      </w:r>
      <w:r>
        <w:t>三公</w:t>
      </w:r>
      <w:r>
        <w:t>”</w:t>
      </w:r>
      <w:r>
        <w:t>经费支出</w:t>
      </w:r>
      <w:r>
        <w:t>371.63</w:t>
      </w:r>
      <w:r>
        <w:t>万元，比上年同期下降</w:t>
      </w:r>
      <w:r>
        <w:t>8.57%</w:t>
      </w:r>
      <w:r>
        <w:t>，其中公务接待费支出</w:t>
      </w:r>
      <w:r>
        <w:t>94.56</w:t>
      </w:r>
      <w:r>
        <w:t>万元，比上年同期下降</w:t>
      </w:r>
      <w:r>
        <w:t>13.26%</w:t>
      </w:r>
      <w:r>
        <w:t>；公务用车购置及运行维护费</w:t>
      </w:r>
      <w:r>
        <w:t>277.07</w:t>
      </w:r>
      <w:r>
        <w:t>万元，比上年同期下降</w:t>
      </w:r>
      <w:r>
        <w:t>5.35%</w:t>
      </w:r>
      <w:r>
        <w:t>。</w:t>
      </w:r>
    </w:p>
    <w:p w:rsidR="000B266B" w:rsidRDefault="000B266B" w:rsidP="000B266B">
      <w:pPr>
        <w:ind w:firstLineChars="200" w:firstLine="420"/>
        <w:jc w:val="left"/>
      </w:pPr>
      <w:r>
        <w:rPr>
          <w:rFonts w:hint="eastAsia"/>
        </w:rPr>
        <w:t>坚持统筹兼顾，保障重点项目支出。统筹城乡融合发展，协同推进生态优先、节约集约、绿色发展。一是支持全面推进乡村振兴。</w:t>
      </w:r>
      <w:r>
        <w:t>1</w:t>
      </w:r>
      <w:r>
        <w:t>至</w:t>
      </w:r>
      <w:r>
        <w:t>6</w:t>
      </w:r>
      <w:r>
        <w:t>月，农林水事务支出</w:t>
      </w:r>
      <w:r>
        <w:t>32640</w:t>
      </w:r>
      <w:r>
        <w:t>万元，重点支持水利建设项目，完成水利资金支出</w:t>
      </w:r>
      <w:r>
        <w:t>2310</w:t>
      </w:r>
      <w:r>
        <w:t>万元，同比增长</w:t>
      </w:r>
      <w:r>
        <w:t>55.35%</w:t>
      </w:r>
      <w:r>
        <w:t>；支持普惠金融发展支出</w:t>
      </w:r>
      <w:r>
        <w:t>1527</w:t>
      </w:r>
      <w:r>
        <w:t>万元，同比增长</w:t>
      </w:r>
      <w:r>
        <w:t>8%</w:t>
      </w:r>
      <w:r>
        <w:t>。二是支持加快推进新型城镇化建设。加快推进健康县城、绿美县城、文明县城、智慧县城、幸福县城建设。</w:t>
      </w:r>
      <w:r>
        <w:t>1</w:t>
      </w:r>
      <w:r>
        <w:t>至</w:t>
      </w:r>
      <w:r>
        <w:t>6</w:t>
      </w:r>
      <w:r>
        <w:t>月，完成住房保障支出</w:t>
      </w:r>
      <w:r>
        <w:t>4549</w:t>
      </w:r>
      <w:r>
        <w:t>万元，同比增长</w:t>
      </w:r>
      <w:r>
        <w:t>39.37%</w:t>
      </w:r>
      <w:r>
        <w:t>；完成城乡社区支出</w:t>
      </w:r>
      <w:r>
        <w:t>6778</w:t>
      </w:r>
      <w:r>
        <w:t>万元，同比增支</w:t>
      </w:r>
      <w:r>
        <w:t>5406</w:t>
      </w:r>
      <w:r>
        <w:t>万元，增长</w:t>
      </w:r>
      <w:r>
        <w:t>394%</w:t>
      </w:r>
      <w:r>
        <w:t>。三是支持交通运</w:t>
      </w:r>
      <w:r>
        <w:rPr>
          <w:rFonts w:hint="eastAsia"/>
        </w:rPr>
        <w:t>输建设项目。</w:t>
      </w:r>
      <w:r>
        <w:t>1</w:t>
      </w:r>
      <w:r>
        <w:t>至</w:t>
      </w:r>
      <w:r>
        <w:t>6</w:t>
      </w:r>
      <w:r>
        <w:t>月，完成交通运输支出</w:t>
      </w:r>
      <w:r>
        <w:t>4887</w:t>
      </w:r>
      <w:r>
        <w:t>万元，同比增支</w:t>
      </w:r>
      <w:r>
        <w:t>3065</w:t>
      </w:r>
      <w:r>
        <w:t>万元，增长</w:t>
      </w:r>
      <w:r>
        <w:t>168.2%</w:t>
      </w:r>
      <w:r>
        <w:t>。四支持灾害防治及应急管理。</w:t>
      </w:r>
      <w:r>
        <w:t>1</w:t>
      </w:r>
      <w:r>
        <w:t>至</w:t>
      </w:r>
      <w:r>
        <w:t>6</w:t>
      </w:r>
      <w:r>
        <w:t>月，完成灾害防治及应急管理支出</w:t>
      </w:r>
      <w:r>
        <w:t>1977</w:t>
      </w:r>
      <w:r>
        <w:t>万元，同比增支</w:t>
      </w:r>
      <w:r>
        <w:t>1136</w:t>
      </w:r>
      <w:r>
        <w:t>万元，增长</w:t>
      </w:r>
      <w:r>
        <w:t>135%</w:t>
      </w:r>
      <w:r>
        <w:t>。</w:t>
      </w:r>
    </w:p>
    <w:p w:rsidR="000B266B" w:rsidRDefault="000B266B" w:rsidP="000B266B">
      <w:pPr>
        <w:ind w:firstLineChars="200" w:firstLine="420"/>
        <w:jc w:val="right"/>
      </w:pPr>
      <w:r w:rsidRPr="00835752">
        <w:rPr>
          <w:rFonts w:hint="eastAsia"/>
        </w:rPr>
        <w:t>中国财经报</w:t>
      </w:r>
      <w:r>
        <w:rPr>
          <w:rFonts w:hint="eastAsia"/>
        </w:rPr>
        <w:t>2023-09-08</w:t>
      </w:r>
    </w:p>
    <w:p w:rsidR="000B266B" w:rsidRDefault="000B266B" w:rsidP="009E6952">
      <w:pPr>
        <w:sectPr w:rsidR="000B266B" w:rsidSect="009E695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62C66" w:rsidRDefault="00E62C66"/>
    <w:sectPr w:rsidR="00E62C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266B"/>
    <w:rsid w:val="000B266B"/>
    <w:rsid w:val="00E62C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B26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B26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1259</Characters>
  <Application>Microsoft Office Word</Application>
  <DocSecurity>0</DocSecurity>
  <Lines>10</Lines>
  <Paragraphs>2</Paragraphs>
  <ScaleCrop>false</ScaleCrop>
  <Company>Microsoft</Company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2023-11-08T05:17:00Z</dcterms:created>
</cp:coreProperties>
</file>