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83362" w:rsidRDefault="00783362" w:rsidP="00103940">
      <w:pPr>
        <w:pStyle w:val="1"/>
      </w:pPr>
      <w:r w:rsidRPr="0086462A">
        <w:rPr>
          <w:rFonts w:hint="eastAsia"/>
        </w:rPr>
        <w:t>铜仁市万山区人大：专项监督助推诉源治理工作显成效</w:t>
      </w:r>
    </w:p>
    <w:p w:rsidR="00783362" w:rsidRDefault="00783362" w:rsidP="00783362">
      <w:pPr>
        <w:ind w:firstLineChars="200" w:firstLine="420"/>
        <w:jc w:val="left"/>
      </w:pPr>
      <w:r>
        <w:rPr>
          <w:rFonts w:hint="eastAsia"/>
        </w:rPr>
        <w:t>“今天会议通过了法院诉源治理工作的四点审议意见，请法院在规定时间内加以整改落实到位。”</w:t>
      </w:r>
      <w:r>
        <w:t>8</w:t>
      </w:r>
      <w:r>
        <w:t>月</w:t>
      </w:r>
      <w:r>
        <w:t>29</w:t>
      </w:r>
      <w:r>
        <w:t>日，万山区人大常委会专题听取和审议了区人民法院诉源治理工作开展情况，并提出了审议意见。这是，近年来万山区人大常委会开展专项监督助力法院共同推动诉源治理工作的一个缩影。</w:t>
      </w:r>
    </w:p>
    <w:p w:rsidR="00783362" w:rsidRDefault="00783362" w:rsidP="00783362">
      <w:pPr>
        <w:ind w:firstLineChars="200" w:firstLine="420"/>
        <w:jc w:val="left"/>
      </w:pPr>
      <w:r>
        <w:rPr>
          <w:rFonts w:hint="eastAsia"/>
        </w:rPr>
        <w:t>万山区法院坚持和发展新时代“枫桥经验”，一手抓“末端”办案工作，一手抓“前端”诉源治理，推动完善矛盾纠纷多元共治机制，把矛盾纠纷化解在基层、化解在萌芽状态，从源头减少诉讼增量。</w:t>
      </w:r>
    </w:p>
    <w:p w:rsidR="00783362" w:rsidRDefault="00783362" w:rsidP="00783362">
      <w:pPr>
        <w:ind w:firstLineChars="200" w:firstLine="420"/>
        <w:jc w:val="left"/>
      </w:pPr>
      <w:r>
        <w:rPr>
          <w:rFonts w:hint="eastAsia"/>
        </w:rPr>
        <w:t>办理代表建议，推动构建大调解体系</w:t>
      </w:r>
    </w:p>
    <w:p w:rsidR="00783362" w:rsidRDefault="00783362" w:rsidP="00783362">
      <w:pPr>
        <w:ind w:firstLineChars="200" w:firstLine="420"/>
        <w:jc w:val="left"/>
      </w:pPr>
      <w:r>
        <w:rPr>
          <w:rFonts w:hint="eastAsia"/>
        </w:rPr>
        <w:t>区法院认真办理落实人大代表建议，推动区委政法委牵头召开全区加强诉源治理推动矛盾纠纷源头化解工作会议，共同构建“纵向到底、横向到边”的全过程诉源治理体系。推动出台《万山区加强诉源治理推动矛盾纠纷化解的实施方案（试行）》，建立了全区非诉纠纷解决体系。</w:t>
      </w:r>
    </w:p>
    <w:p w:rsidR="00783362" w:rsidRDefault="00783362" w:rsidP="00783362">
      <w:pPr>
        <w:ind w:firstLineChars="200" w:firstLine="420"/>
        <w:jc w:val="left"/>
      </w:pPr>
      <w:r>
        <w:rPr>
          <w:rFonts w:hint="eastAsia"/>
        </w:rPr>
        <w:t>督促区法院对标诉源治理工作的职责定位，主动融入推动区委、区政府领导下的诉源治理工作，努力推动构建党委领导、政府主导、综治协调、部门联动，基层组织参加、群众参与的多元化解工作格局。</w:t>
      </w:r>
    </w:p>
    <w:p w:rsidR="00783362" w:rsidRDefault="00783362" w:rsidP="00783362">
      <w:pPr>
        <w:ind w:firstLineChars="200" w:firstLine="420"/>
        <w:jc w:val="left"/>
      </w:pPr>
      <w:r>
        <w:rPr>
          <w:rFonts w:hint="eastAsia"/>
        </w:rPr>
        <w:t>积极推动“党政主导、法院主推、部门主责、基层主抓、群众主体”的运行模式，着力构建以源头预防为先、非诉机制挺前、法院裁判终局为核心的共建共治共享诉源治理工作体系，有效推进诉源治理迈向制度化、规范化。</w:t>
      </w:r>
    </w:p>
    <w:p w:rsidR="00783362" w:rsidRDefault="00783362" w:rsidP="00783362">
      <w:pPr>
        <w:ind w:firstLineChars="200" w:firstLine="420"/>
        <w:jc w:val="left"/>
      </w:pPr>
      <w:r>
        <w:rPr>
          <w:rFonts w:hint="eastAsia"/>
        </w:rPr>
        <w:t>主动加强与区公安、信访、统战、司法、民政、住建、医保、妇联等单位的联动协调，成立各行业调解委员会，签订《诉调对接合作协议》。</w:t>
      </w:r>
    </w:p>
    <w:p w:rsidR="00783362" w:rsidRDefault="00783362" w:rsidP="00783362">
      <w:pPr>
        <w:ind w:firstLineChars="200" w:firstLine="420"/>
        <w:jc w:val="left"/>
      </w:pPr>
      <w:r>
        <w:rPr>
          <w:rFonts w:hint="eastAsia"/>
        </w:rPr>
        <w:t>探索建立信息共享、业务协同、非诉衔接等工作机制，对起诉到法院的纠纷，通过诉前委派、诉中委托的方式移送给人民调解委员会及相关部门进行调解，将纠纷解决在诉前，减少诉讼增量，减轻当事人诉累。</w:t>
      </w:r>
      <w:r>
        <w:t>2021</w:t>
      </w:r>
      <w:r>
        <w:t>年来万山诉前调解各类纠纷案件</w:t>
      </w:r>
      <w:r>
        <w:t xml:space="preserve">5502 </w:t>
      </w:r>
      <w:r>
        <w:t>件，调解成功</w:t>
      </w:r>
      <w:r>
        <w:t>3186</w:t>
      </w:r>
      <w:r>
        <w:t>件。</w:t>
      </w:r>
    </w:p>
    <w:p w:rsidR="00783362" w:rsidRDefault="00783362" w:rsidP="00783362">
      <w:pPr>
        <w:ind w:firstLineChars="200" w:firstLine="420"/>
        <w:jc w:val="left"/>
      </w:pPr>
      <w:r>
        <w:rPr>
          <w:rFonts w:hint="eastAsia"/>
        </w:rPr>
        <w:t>整合资源利用，推动形成基层治理合力</w:t>
      </w:r>
    </w:p>
    <w:p w:rsidR="00783362" w:rsidRDefault="00783362" w:rsidP="00783362">
      <w:pPr>
        <w:ind w:firstLineChars="200" w:firstLine="420"/>
        <w:jc w:val="left"/>
      </w:pPr>
      <w:r>
        <w:rPr>
          <w:rFonts w:hint="eastAsia"/>
        </w:rPr>
        <w:t>强化就地预防化解矛盾纠纷，督促法院充分发挥主推职能作用，成立万山区诉调对接整合人民调解委员会，入驻法院诉讼服务中心开展诉调工作。延伸拓展全区诉调触角，在法院设立行政争议协调化解中心，在朱砂古镇法庭、茶店法庭两个片区设立诉前调解室，在各乡镇设立诉讼联系点，在村（居）设立诉讼便民服务点，全方位对诉前调解案件进行调解化解。</w:t>
      </w:r>
    </w:p>
    <w:p w:rsidR="00783362" w:rsidRDefault="00783362" w:rsidP="00783362">
      <w:pPr>
        <w:ind w:firstLineChars="200" w:firstLine="420"/>
        <w:jc w:val="left"/>
      </w:pPr>
      <w:r>
        <w:rPr>
          <w:rFonts w:hint="eastAsia"/>
        </w:rPr>
        <w:t>针对矛盾纠纷集中多发领域，督促指导交通、住建、司法、民政等部门深入开展诉源治理工作。有效整合法院、乡镇、司法所、各级人民调解委员会及职能部门等解纷力量，将司法触角延伸至基层。区法院在条件允许的朱砂古镇法庭投入</w:t>
      </w:r>
      <w:r>
        <w:t>30</w:t>
      </w:r>
      <w:r>
        <w:t>万元资金对一站式诉讼服务调解平台的设备进行升级配备，为当事人利用现代网络手段与法官、调解员直接交流，减少了群众诉前调解成本，更是提高了调解成功率。</w:t>
      </w:r>
    </w:p>
    <w:p w:rsidR="00783362" w:rsidRDefault="00783362" w:rsidP="00783362">
      <w:pPr>
        <w:ind w:firstLineChars="200" w:firstLine="420"/>
        <w:jc w:val="left"/>
      </w:pPr>
      <w:r>
        <w:rPr>
          <w:rFonts w:hint="eastAsia"/>
        </w:rPr>
        <w:t>按照“谁执法谁普法”要求，督促法院协调相关司法机关资源，开展法律知识“大宣传、大走访”活动，组织“法官、检察官、警官”走村寨、进社区大走访</w:t>
      </w:r>
      <w:r>
        <w:t>100</w:t>
      </w:r>
      <w:r>
        <w:t>余场次，为群众提供法律咨询服务</w:t>
      </w:r>
      <w:r>
        <w:t>600</w:t>
      </w:r>
      <w:r>
        <w:t>余人次，就地化解纠纷</w:t>
      </w:r>
      <w:r>
        <w:t>34</w:t>
      </w:r>
      <w:r>
        <w:t>件，切实将纠纷预防化解职能延伸至讼争源头。</w:t>
      </w:r>
    </w:p>
    <w:p w:rsidR="00783362" w:rsidRDefault="00783362" w:rsidP="00783362">
      <w:pPr>
        <w:ind w:firstLineChars="200" w:firstLine="420"/>
        <w:jc w:val="left"/>
      </w:pPr>
      <w:r>
        <w:t>2021</w:t>
      </w:r>
      <w:r>
        <w:t>年诉源治理工作开展以来，万山区诉调对接人民调解委员会调解各类纠纷</w:t>
      </w:r>
      <w:r>
        <w:t>5140</w:t>
      </w:r>
      <w:r>
        <w:t>件，调解成功</w:t>
      </w:r>
      <w:r>
        <w:t>2897</w:t>
      </w:r>
      <w:r>
        <w:t>件。</w:t>
      </w:r>
    </w:p>
    <w:p w:rsidR="00783362" w:rsidRDefault="00783362" w:rsidP="00783362">
      <w:pPr>
        <w:ind w:firstLineChars="200" w:firstLine="420"/>
        <w:jc w:val="left"/>
      </w:pPr>
      <w:r>
        <w:rPr>
          <w:rFonts w:hint="eastAsia"/>
        </w:rPr>
        <w:t>深化机制改革，推动矛盾纠纷前端化解</w:t>
      </w:r>
    </w:p>
    <w:p w:rsidR="00783362" w:rsidRDefault="00783362" w:rsidP="00783362">
      <w:pPr>
        <w:ind w:firstLineChars="200" w:firstLine="420"/>
        <w:jc w:val="left"/>
      </w:pPr>
      <w:r>
        <w:rPr>
          <w:rFonts w:hint="eastAsia"/>
        </w:rPr>
        <w:t>深化法院“分调裁审”机制改革，强化措施建机制，着力推动矛盾纠纷前端化解。构筑一站式解纷服务机制，实现诉讼服务“一站通办、一号通办、一网通办”，深化案件“分流、调解、速裁、快审”机制建设。</w:t>
      </w:r>
      <w:r>
        <w:t>2021</w:t>
      </w:r>
      <w:r>
        <w:t>年至今，诉前调解成功案件数、速裁快审案件数与法院受理民商事案件数的比例均超过</w:t>
      </w:r>
      <w:r>
        <w:t>100%</w:t>
      </w:r>
      <w:r>
        <w:t>。</w:t>
      </w:r>
    </w:p>
    <w:p w:rsidR="00783362" w:rsidRDefault="00783362" w:rsidP="00783362">
      <w:pPr>
        <w:ind w:firstLineChars="200" w:firstLine="420"/>
        <w:jc w:val="left"/>
      </w:pPr>
      <w:r>
        <w:rPr>
          <w:rFonts w:hint="eastAsia"/>
        </w:rPr>
        <w:t>创推矛盾纠纷“一站式”调解机制，督促法院精准对接人民调解、行业调解、行业协会、行政机关等解纷力量，推进人民法院调解平台进乡村、进社区，特邀各调解组织和调解员入驻人民法院调解平台，参与纠纷的在线调解，面对面调解，实现解纷渠道“线上</w:t>
      </w:r>
      <w:r>
        <w:t>+</w:t>
      </w:r>
      <w:r>
        <w:t>线下</w:t>
      </w:r>
      <w:r>
        <w:t>”</w:t>
      </w:r>
      <w:r>
        <w:t>同步进行。</w:t>
      </w:r>
    </w:p>
    <w:p w:rsidR="00783362" w:rsidRDefault="00783362" w:rsidP="00783362">
      <w:pPr>
        <w:ind w:firstLineChars="200" w:firstLine="420"/>
        <w:jc w:val="left"/>
      </w:pPr>
      <w:r>
        <w:rPr>
          <w:rFonts w:hint="eastAsia"/>
        </w:rPr>
        <w:t>探索实质性化解纠纷机制，充分激发“立审执监访”各个流程的纠纷调处化解作用发挥，降低非理性上诉和信访风险，形成诉内治理工作闭环，快速实质性化解矛盾纠纷问题。</w:t>
      </w:r>
      <w:r>
        <w:t>2021</w:t>
      </w:r>
      <w:r>
        <w:t>年至今，出具调解协议司法确认书</w:t>
      </w:r>
      <w:r>
        <w:t>1864</w:t>
      </w:r>
      <w:r>
        <w:t>份，减少诉讼费</w:t>
      </w:r>
      <w:r>
        <w:t>400</w:t>
      </w:r>
      <w:r>
        <w:t>余万元。</w:t>
      </w:r>
    </w:p>
    <w:p w:rsidR="00783362" w:rsidRDefault="00783362" w:rsidP="00783362">
      <w:pPr>
        <w:ind w:firstLineChars="200" w:firstLine="420"/>
        <w:jc w:val="left"/>
      </w:pPr>
      <w:r>
        <w:rPr>
          <w:rFonts w:hint="eastAsia"/>
        </w:rPr>
        <w:t>创新设立“村口法庭”，将司法服务和审判工作延伸至村口田间，诉讼案件持续下降，实现诉源治理成效和人民群众满意度双提升。推动将“万人成讼率”指标纳入党政综合目标考核、综合治理考核等地方考核体系，充分调动基层齐抓共治的积极性。</w:t>
      </w:r>
    </w:p>
    <w:p w:rsidR="00783362" w:rsidRDefault="00783362" w:rsidP="00783362">
      <w:pPr>
        <w:ind w:firstLineChars="200" w:firstLine="420"/>
        <w:jc w:val="left"/>
      </w:pPr>
      <w:r>
        <w:rPr>
          <w:rFonts w:hint="eastAsia"/>
        </w:rPr>
        <w:t>强化巡回法庭功能发挥，在各地开展巡回审判、法治教育、法治宣讲等活动，解决群众利益纠纷、维护合法权益。</w:t>
      </w:r>
      <w:r>
        <w:t>2021</w:t>
      </w:r>
      <w:r>
        <w:t>年来开展巡回审判</w:t>
      </w:r>
      <w:r>
        <w:t>85</w:t>
      </w:r>
      <w:r>
        <w:t>件，在巡回审判同时开展以案释法</w:t>
      </w:r>
      <w:r>
        <w:t>400</w:t>
      </w:r>
      <w:r>
        <w:t>余人次，并辅助法治宣讲，提升群众法律知晓率。</w:t>
      </w:r>
      <w:r>
        <w:t>2021</w:t>
      </w:r>
      <w:r>
        <w:t>年在谢桥办事处巡回审理铜仁农商银行起诉借款纠纷系列案，促使</w:t>
      </w:r>
      <w:r>
        <w:t>20</w:t>
      </w:r>
      <w:r>
        <w:t>余名未被起诉的借款人主动履行了还款义务。</w:t>
      </w:r>
    </w:p>
    <w:p w:rsidR="00783362" w:rsidRPr="0086462A" w:rsidRDefault="00783362" w:rsidP="00783362">
      <w:pPr>
        <w:ind w:firstLineChars="200" w:firstLine="420"/>
        <w:jc w:val="left"/>
      </w:pPr>
      <w:r>
        <w:rPr>
          <w:rFonts w:hint="eastAsia"/>
        </w:rPr>
        <w:t>万山法院主动接受人大监督，以办理人大代表建议为契机，立足优化法庭布局、优化队伍结构、优化专业化建设，坚持和发展新时代“枫桥经验”，适度扩大法庭案件受理范围，确保人民法庭广泛参与基层治理，服务乡村振兴、服务基层社会治理、服务人民群众高品质生活需要，为当地党委政府当好法治参谋，不断完善人民法庭、基层组织共同参与的“一中心一张网十联户”纠纷调解网络，切实把矛盾解决在萌芽、纠纷化解在基层，切实推动源头治理工作走深走实，提质增效。（区人大</w:t>
      </w:r>
      <w:r>
        <w:rPr>
          <w:rFonts w:ascii="MS Mincho" w:eastAsia="MS Mincho" w:hAnsi="MS Mincho" w:cs="MS Mincho" w:hint="eastAsia"/>
        </w:rPr>
        <w:t> </w:t>
      </w:r>
      <w:r>
        <w:t xml:space="preserve"> </w:t>
      </w:r>
      <w:r>
        <w:rPr>
          <w:rFonts w:ascii="MS Mincho" w:eastAsia="MS Mincho" w:hAnsi="MS Mincho" w:cs="MS Mincho" w:hint="eastAsia"/>
        </w:rPr>
        <w:t> </w:t>
      </w:r>
      <w:r>
        <w:t>罗泽亭）</w:t>
      </w:r>
    </w:p>
    <w:p w:rsidR="00783362" w:rsidRDefault="00783362" w:rsidP="00783362">
      <w:pPr>
        <w:ind w:firstLineChars="200" w:firstLine="420"/>
        <w:jc w:val="right"/>
      </w:pPr>
      <w:r w:rsidRPr="0086462A">
        <w:rPr>
          <w:rFonts w:hint="eastAsia"/>
        </w:rPr>
        <w:t>万山人大</w:t>
      </w:r>
      <w:r>
        <w:rPr>
          <w:rFonts w:hint="eastAsia"/>
        </w:rPr>
        <w:t>2023-09-11</w:t>
      </w:r>
    </w:p>
    <w:p w:rsidR="00783362" w:rsidRDefault="00783362" w:rsidP="00E20FD5">
      <w:pPr>
        <w:sectPr w:rsidR="00783362" w:rsidSect="00E20FD5">
          <w:type w:val="continuous"/>
          <w:pgSz w:w="11906" w:h="16838"/>
          <w:pgMar w:top="1644" w:right="1236" w:bottom="1418" w:left="1814" w:header="851" w:footer="907" w:gutter="0"/>
          <w:pgNumType w:start="1"/>
          <w:cols w:space="720"/>
          <w:docGrid w:type="lines" w:linePitch="341" w:charSpace="2373"/>
        </w:sectPr>
      </w:pPr>
    </w:p>
    <w:p w:rsidR="00163AD3" w:rsidRDefault="00163AD3"/>
    <w:sectPr w:rsidR="00163AD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9060101010101"/>
    <w:charset w:val="86"/>
    <w:family w:val="auto"/>
    <w:pitch w:val="variable"/>
    <w:sig w:usb0="800002BF" w:usb1="38CF7CFA" w:usb2="00000016" w:usb3="00000000" w:csb0="00040001"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83362"/>
    <w:rsid w:val="00163AD3"/>
    <w:rsid w:val="0078336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8336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78336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330</Words>
  <Characters>1881</Characters>
  <Application>Microsoft Office Word</Application>
  <DocSecurity>0</DocSecurity>
  <Lines>15</Lines>
  <Paragraphs>4</Paragraphs>
  <ScaleCrop>false</ScaleCrop>
  <Company>微软中国</Company>
  <LinksUpToDate>false</LinksUpToDate>
  <CharactersWithSpaces>2207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2023-09-18T07:35:00Z</dcterms:created>
</cp:coreProperties>
</file>