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EF" w:rsidRPr="00593D25" w:rsidRDefault="00A511EF" w:rsidP="00593D25">
      <w:pPr>
        <w:pStyle w:val="1"/>
      </w:pPr>
      <w:r w:rsidRPr="00593D25">
        <w:rPr>
          <w:rFonts w:hint="eastAsia"/>
        </w:rPr>
        <w:t>解读：县域经济如何更“经济”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作者：彭迪云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“县域经济是国民经济的重要基础、区域经济的基本单元、省域经济的坚实支撑，牵一发而动全身，落一子而全盘活。如何推动县域经济做大做强，抬高全省高质量发展的底板？我们特邀南昌大学二级教授、博士生导师，江西应用科技学院党委书记彭迪云进行解读。”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在我国新一轮“多点支撑、多极带动、各具特色、竞相发展、繁荣兴旺”的区域经济发展格局中，县域是重要的基石和支撑。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省委十五届四次全会提出，要深化完善推进中国式现代化建设的江西实践路径，加快构建“一主一副、两翼联动、多点支撑”区域发展新格局。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这一部署策应了“多极化＋一体化＋均衡化”的空间整合趋势，凸显了县域经济“战略底板”的支撑作用，勾勒出强县富民、抬高底板、多点支撑的空间奋进路径。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县域经济在区域高质量发展中肩负着强基赋能的战略使命。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县域是指县级行政区划范围，包括市辖区、县级市和县。截至</w:t>
      </w:r>
      <w:r>
        <w:t>2022</w:t>
      </w:r>
      <w:r>
        <w:t>年末，我省辖</w:t>
      </w:r>
      <w:r>
        <w:t>27</w:t>
      </w:r>
      <w:r>
        <w:t>个市辖区、</w:t>
      </w:r>
      <w:r>
        <w:t>12</w:t>
      </w:r>
      <w:r>
        <w:t>个县级市、</w:t>
      </w:r>
      <w:r>
        <w:t>61</w:t>
      </w:r>
      <w:r>
        <w:t>个县、</w:t>
      </w:r>
      <w:r>
        <w:t>186</w:t>
      </w:r>
      <w:r>
        <w:t>个街道、</w:t>
      </w:r>
      <w:r>
        <w:t>832</w:t>
      </w:r>
      <w:r>
        <w:t>个镇、</w:t>
      </w:r>
      <w:r>
        <w:t>560</w:t>
      </w:r>
      <w:r>
        <w:t>个乡。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县域经济则是以县城为中心、乡镇为纽带、农村为腹地的区域经济。县域是国民经济社会的基本单元和底部基础，处于承上启下、沟通城乡、总揽农村的战略位置，成为全面建设社会主义现代化国家的重点和难点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县域经济是国民经济的重要基础、区域经济的基本单元、省域经济的坚实支撑，牵一发而动全身，落一子而活全盘。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区域经济、省域经济之间的差距，主要体现在县域经济发展的差距上。省域高质量发展的基础、短板、潜力等均在县域。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加快县域经济发展壮大，持续强化县域经济支撑，是把省委思路举措落实到位的紧迫任务。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新时代以来，我省县域经济有了较快发展，但其发展面临市场主体不多、经济底盘不厚、经济结构不优、质量效益不高等困难，一些深层次问题逐渐显现。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当前，全国县域经济发展已进入总量跨越、质量提升、动能转换、城乡融合、开放协同的关键阶段。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要充分挖掘和利用县域经济发展的有利条件、有为空间和有效支撑，围绕“县域经济提质、县域治理提效”合力攻坚，推动县域经济做大做强，抬高全省高质量发展的底板。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高位推动，发挥战略导向作用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统一思想认识。习近平总书记高度重视县域工作，对县域发展治理作出了一系列重要论述。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面对新一轮区域发展竞争，全省上下要深刻认识到，发展壮大县域经济是打造“三大高地”、实施“五大战略”必须肩负的战略使命，是缩小城乡区域收入差距、逐步实现共同富裕必须紧握的战略抓手，是推进中国式现代化必须拓展的战略空间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尽快出台我省推进“一主一副、两翼联动、多点支撑”区域协调发展及加快县域经济高质量发展的相关政策。重点明确县域经济发展壮大的目标定位、主要任务、专项行动计划、考评与奖励办法及保障措施。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召开一年一度的全省县域经济高质量发展大会暨县（市、区）委书记工作交流会，实施分类管理及考核评价，引导各县（市、区）在各自赛道上比学赶超。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示范引领，推动县域竞相发展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实施经济强县工程。聚力打造一批产业有特色、竞争有优势、发展有后劲的经济强县。支持南昌县全国百强县争先进位，培育丰城市、贵溪市、高安市、樟树市、乐平市、进贤县等全国百强县后备梯队。鼓励各县（市、区）竞相发展，实现弱县赶超，强县跨越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打造特色产业。重点选育和打造优势明显、集中度高、关联性强、有竞争力的县域特色产业，建成一批有竞争力和影响力的特色产业板块和网状经济，带动形成“一县一品”“一业一品”。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加快培育特色县（市、区）。支持各县（市、区）突出发展特色产业、提升发展潜力、增强综合实力。各地要因地制宜大力发展特色产业，坚持宜工则工、宜农则农、宜林则林、宜商则商、宜游则游，培育一批制造强县、农业强县、服务业强县、信息化强县、旅游名县和生态建设标杆县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城乡融合，统筹城乡建设治理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加快县城基础设施建设。推动人口集中、产业集聚、功能集成、要素集约，科学编制县域规划，提升县城市政公用设施建设水平和基础公共服务、产业配套功能，完善县城功能品质。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健全城乡融合发展体制机制。以县域为基本单元推进城乡融合发展，促进资源要素在城乡之间自由流动和合理配置；以城乡融合畅通县域经济循环、优化县域经济结构、激发县域增长潜能、助推县域绿色转型。深化多点多极支撑的城乡发展空间布局，促进大中小城市和小城镇协调联动、特色化发展。打造区域核心节点，重点建设中心集镇及一批工业重镇、商贸强镇、旅游名镇和农业特色镇，促进县乡村功能衔接互补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加快和美乡村建设。加快补齐乡村基础设施和公共服务短板，推动乡村由表及里、形神兼备的全面提升。加快数字乡村建设，促进村邮站、电商服务站点、农村便利店等网点设施共建共享，推动“多站合一、一点多能、一网多用”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改革创新，释放县域动力活力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持续深化放权赋能改革。重点推进扩权强县赋能改革，探索实施县（市、区）“点菜”、省市“上菜”的菜单式赋权模式，按照“依法下放、应放尽放、宜放则放”的原则，合理有序下放一批省、市两级相关权限到县（市、区），提升县级自主发展能力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以创新求变的精神解决县域发展难题。在闲置资源利用、财政政策支持、金融政策扶持、用地保障、人才智力支撑等方面探索制定有一定改革含量的政策举措。例如，建立以“亩产效益”为导向的土地指标差别化配置机制，推动县（市、区）城乡建设用地增减挂钩指标和占补平衡指标参与省内交易等。</w:t>
      </w:r>
    </w:p>
    <w:p w:rsidR="00A511EF" w:rsidRDefault="00A511EF" w:rsidP="00A511EF">
      <w:pPr>
        <w:ind w:firstLineChars="200" w:firstLine="420"/>
        <w:jc w:val="left"/>
      </w:pPr>
      <w:r>
        <w:rPr>
          <w:rFonts w:hint="eastAsia"/>
        </w:rPr>
        <w:t>扩大开放强县。县域经济发展的困难已不再是“县”而是“域”的问题。需要通过扩大开放盘活资源、汇集要素、吸引人才、升级功能、激发活力，形成更具引领力、竞争力和辨识度的县域矩阵。</w:t>
      </w:r>
    </w:p>
    <w:p w:rsidR="00A511EF" w:rsidRPr="00C54EA1" w:rsidRDefault="00A511EF" w:rsidP="00A511EF">
      <w:pPr>
        <w:ind w:firstLineChars="200" w:firstLine="420"/>
        <w:jc w:val="left"/>
      </w:pPr>
      <w:r>
        <w:rPr>
          <w:rFonts w:hint="eastAsia"/>
        </w:rPr>
        <w:t>健全机制、有效管理。完善责任落实机制、主体赋能机制、发展竞合机制、要素保障机制，坚持上下共担责、条块相结合。</w:t>
      </w:r>
    </w:p>
    <w:p w:rsidR="00A511EF" w:rsidRDefault="00A511EF" w:rsidP="00A511EF">
      <w:pPr>
        <w:ind w:firstLineChars="200" w:firstLine="420"/>
        <w:jc w:val="right"/>
      </w:pPr>
      <w:r>
        <w:rPr>
          <w:rFonts w:hint="eastAsia"/>
        </w:rPr>
        <w:t>当代江西</w:t>
      </w:r>
      <w:r>
        <w:rPr>
          <w:rFonts w:hint="eastAsia"/>
        </w:rPr>
        <w:t>2023-09-23</w:t>
      </w:r>
    </w:p>
    <w:p w:rsidR="00A511EF" w:rsidRDefault="00A511EF" w:rsidP="00F04B9C">
      <w:pPr>
        <w:sectPr w:rsidR="00A511EF" w:rsidSect="00F04B9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F574F" w:rsidRDefault="000F574F"/>
    <w:sectPr w:rsidR="000F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1EF"/>
    <w:rsid w:val="000F574F"/>
    <w:rsid w:val="00A5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11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511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2023-11-10T05:56:00Z</dcterms:created>
</cp:coreProperties>
</file>