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6040" w:rsidRDefault="00DC6040" w:rsidP="0050783F">
      <w:pPr>
        <w:pStyle w:val="1"/>
      </w:pPr>
      <w:r w:rsidRPr="0050783F">
        <w:rPr>
          <w:rFonts w:hint="eastAsia"/>
        </w:rPr>
        <w:t>巴彦淖尔市监局打好“组合拳”</w:t>
      </w:r>
      <w:r w:rsidRPr="0050783F">
        <w:t xml:space="preserve"> 筑牢特殊食品及食盐质量安全</w:t>
      </w:r>
      <w:r w:rsidRPr="0050783F">
        <w:t>“</w:t>
      </w:r>
      <w:r w:rsidRPr="0050783F">
        <w:t>防火墙</w:t>
      </w:r>
      <w:r w:rsidRPr="0050783F">
        <w:t>”</w:t>
      </w:r>
    </w:p>
    <w:p w:rsidR="00DC6040" w:rsidRDefault="00DC6040" w:rsidP="00DC6040">
      <w:pPr>
        <w:ind w:firstLineChars="200" w:firstLine="420"/>
      </w:pPr>
      <w:r>
        <w:t>为严防严控食品安全风险，筑牢特殊食品及食盐质量安全</w:t>
      </w:r>
      <w:r>
        <w:t>“</w:t>
      </w:r>
      <w:r>
        <w:t>防火墙</w:t>
      </w:r>
      <w:r>
        <w:t>”</w:t>
      </w:r>
      <w:r>
        <w:t>，内蒙古巴彦淖尔市市场监督管理在高质量高标准做好规定动作的基础上，结合本地实际创新性完成自选动作，稳步提升特殊食品及食盐质量安全监管效能，为成功创建国家食品安全示范城市添砖加瓦。</w:t>
      </w:r>
    </w:p>
    <w:p w:rsidR="00DC6040" w:rsidRDefault="00DC6040" w:rsidP="00DC6040">
      <w:pPr>
        <w:ind w:firstLineChars="200" w:firstLine="420"/>
      </w:pPr>
      <w:r>
        <w:rPr>
          <w:rFonts w:hint="eastAsia"/>
        </w:rPr>
        <w:t>建章立制，填空白、补短板、明规则。针对特殊食品及食盐相关经营规范要求涉及不同法律、法规、规章、指南及规范性文件，基层监管人员和市场经营主体对相关要求把握不准的现状，编制印发《巴彦淖尔市特殊食品规范经营指引（试行）》，主动与市工信局对接，联合编制印发《巴彦淖尔市食盐规范经营指引（试行）》，指导基层监管人员在特殊食品及食盐监管中规范执法、相关主体诚信规范经营，真正做到规范经营有抓手，主体责任能落实，公众特殊食品及食盐消费安全有保障。</w:t>
      </w:r>
    </w:p>
    <w:p w:rsidR="00DC6040" w:rsidRDefault="00DC6040" w:rsidP="00DC6040">
      <w:pPr>
        <w:ind w:firstLineChars="200" w:firstLine="420"/>
      </w:pPr>
      <w:r>
        <w:rPr>
          <w:rFonts w:hint="eastAsia"/>
        </w:rPr>
        <w:t>培训考核，强业务，提素质，见成效。一是针对监管人员和辖区经营户举办食品安全法、特殊食品及食盐安全相关知识培训，</w:t>
      </w:r>
      <w:r>
        <w:t>400</w:t>
      </w:r>
      <w:r>
        <w:t>余人参加培训；二是通过特食抽考小程序对从业人员进行培训考核。</w:t>
      </w:r>
      <w:r>
        <w:t>2023</w:t>
      </w:r>
      <w:r>
        <w:t>年全市特殊食品生产企业、连锁销售企业总部食品安全总监和食品安全员考核覆盖率和通过率均达</w:t>
      </w:r>
      <w:r>
        <w:t>100%</w:t>
      </w:r>
      <w:r>
        <w:t>。特殊食品经营户</w:t>
      </w:r>
      <w:r>
        <w:t>910</w:t>
      </w:r>
      <w:r>
        <w:t>户</w:t>
      </w:r>
      <w:r>
        <w:t>1144</w:t>
      </w:r>
      <w:r>
        <w:t>人参加考核，考核覆盖率达</w:t>
      </w:r>
      <w:r>
        <w:t>80.16%</w:t>
      </w:r>
      <w:r>
        <w:t>；三是对参加集中约谈的</w:t>
      </w:r>
      <w:r>
        <w:t>55</w:t>
      </w:r>
      <w:r>
        <w:t>名从业人员进行现场测试，平均测试成绩</w:t>
      </w:r>
      <w:r>
        <w:t>93</w:t>
      </w:r>
      <w:r>
        <w:t>分。通过培训考核，监管人员业务水平和经营户素质能力得到有效提升。</w:t>
      </w:r>
    </w:p>
    <w:p w:rsidR="00DC6040" w:rsidRDefault="00DC6040" w:rsidP="00DC6040">
      <w:pPr>
        <w:ind w:firstLineChars="200" w:firstLine="420"/>
      </w:pPr>
      <w:r>
        <w:rPr>
          <w:rFonts w:hint="eastAsia"/>
        </w:rPr>
        <w:t>严格监管，交叉查，随机查，专项查。一是坚持问题导向，对全市</w:t>
      </w:r>
      <w:r>
        <w:t>96</w:t>
      </w:r>
      <w:r>
        <w:t>户特殊食品及食盐经营户开展旗县区局间明察暗访互查工作，全面排查特殊食品及食盐经营环节风险隐患，推进</w:t>
      </w:r>
      <w:r>
        <w:t>“</w:t>
      </w:r>
      <w:r>
        <w:t>两个责任</w:t>
      </w:r>
      <w:r>
        <w:t>”</w:t>
      </w:r>
      <w:r>
        <w:t>落实；二是采取上下联动、条线整合、部门联合等方式开展双随机检查，年内开展特殊食品及食盐双随机检查</w:t>
      </w:r>
      <w:r>
        <w:t>10</w:t>
      </w:r>
      <w:r>
        <w:t>次，检查特殊食品及食盐生产经营户</w:t>
      </w:r>
      <w:r>
        <w:t>494</w:t>
      </w:r>
      <w:r>
        <w:t>户，特殊食品生产企业覆盖率</w:t>
      </w:r>
      <w:r>
        <w:t>100%</w:t>
      </w:r>
      <w:r>
        <w:t>、经营户覆盖率达</w:t>
      </w:r>
      <w:r>
        <w:t>47.86%</w:t>
      </w:r>
      <w:r>
        <w:t>；三是部署保健食品行业专项清理整治行动成果巩固提升、特殊食品</w:t>
      </w:r>
      <w:r>
        <w:t>“</w:t>
      </w:r>
      <w:r>
        <w:t>两专一单、虚假宣传</w:t>
      </w:r>
      <w:r>
        <w:t>”</w:t>
      </w:r>
      <w:r>
        <w:t>、缓解体力疲劳功能保健食品风险隐患排查、食盐经营环节等专项</w:t>
      </w:r>
      <w:r>
        <w:rPr>
          <w:rFonts w:hint="eastAsia"/>
        </w:rPr>
        <w:t>检查，对于检查中发现的特殊食品混放销售、专区专柜落实不到位、专有标识不规范等问题下达责令改正通知书，并组织开展回头看，形成监管闭环。</w:t>
      </w:r>
    </w:p>
    <w:p w:rsidR="00DC6040" w:rsidRDefault="00DC6040" w:rsidP="00DC6040">
      <w:pPr>
        <w:ind w:firstLineChars="200" w:firstLine="420"/>
      </w:pPr>
      <w:r>
        <w:rPr>
          <w:rFonts w:hint="eastAsia"/>
        </w:rPr>
        <w:t>指导约谈，树意识，落责任，抓落实。先后召开特殊食品连锁销售企业总部、特殊食品和食盐批发企业主体责任落实约谈会，引导督促企业牢固树立食品安全第一责任人意识，明确“三人三责”，把食品安全主体责任落到“最小工作单元”，落实在风险防控成效中。</w:t>
      </w:r>
      <w:r>
        <w:t>23</w:t>
      </w:r>
      <w:r>
        <w:t>家相关企业参加约谈，并集中签订了《食盐批发企业承诺书》和《特殊食品经营承诺书》。</w:t>
      </w:r>
    </w:p>
    <w:p w:rsidR="00DC6040" w:rsidRDefault="00DC6040" w:rsidP="00DC6040">
      <w:pPr>
        <w:ind w:firstLineChars="200" w:firstLine="420"/>
      </w:pPr>
      <w:r>
        <w:rPr>
          <w:rFonts w:hint="eastAsia"/>
        </w:rPr>
        <w:t>公开承诺，分层级，促自律，守诚信。由市局组织全市特殊食品批发企业和连锁企业总部、各旗县区局组织辖区其他特殊食品经营主体分层级开展特殊食品“诚信规范经营消费提质升级”公开承诺活动，以承诺促自律，以自律保安全，全市共有</w:t>
      </w:r>
      <w:r>
        <w:t>1456</w:t>
      </w:r>
      <w:r>
        <w:t>户特殊食品经营主体参与公开承诺活动，开展集中承诺活动</w:t>
      </w:r>
      <w:r>
        <w:t>8</w:t>
      </w:r>
      <w:r>
        <w:t>次，开展相关宣传活动</w:t>
      </w:r>
      <w:r>
        <w:t>31</w:t>
      </w:r>
      <w:r>
        <w:t>次，共同营造全市诚信、守法、放心、舒心的特殊食品消费环境。</w:t>
      </w:r>
    </w:p>
    <w:p w:rsidR="00DC6040" w:rsidRDefault="00DC6040" w:rsidP="00DC6040">
      <w:pPr>
        <w:ind w:firstLineChars="200" w:firstLine="420"/>
      </w:pPr>
      <w:r>
        <w:rPr>
          <w:rFonts w:hint="eastAsia"/>
        </w:rPr>
        <w:t>统一标准，印清单，出模板，做示范。针对经营户落实“两专一单”等主体责任中存在的问题，重新设计制作特殊食品及食盐经营规范管理清单和保健食品经营企业八不准宣传海报、保健食品消费警示用语提示牌，制定《特殊食品安全管理制度》模板供经营户参考选择，为经营户提供落实“两专一单”示范样式，要求经营户严格按照相关标准规范开展经营活动。</w:t>
      </w:r>
    </w:p>
    <w:p w:rsidR="00DC6040" w:rsidRDefault="00DC6040" w:rsidP="0050783F">
      <w:pPr>
        <w:jc w:val="right"/>
      </w:pPr>
      <w:r w:rsidRPr="0050783F">
        <w:rPr>
          <w:rFonts w:hint="eastAsia"/>
        </w:rPr>
        <w:t>内蒙古市场监管局</w:t>
      </w:r>
      <w:r>
        <w:rPr>
          <w:rFonts w:hint="eastAsia"/>
        </w:rPr>
        <w:t>2023-9-12</w:t>
      </w:r>
    </w:p>
    <w:p w:rsidR="00DC6040" w:rsidRDefault="00DC6040" w:rsidP="00DB2594">
      <w:pPr>
        <w:sectPr w:rsidR="00DC6040" w:rsidSect="00DB2594">
          <w:type w:val="continuous"/>
          <w:pgSz w:w="11906" w:h="16838"/>
          <w:pgMar w:top="1644" w:right="1236" w:bottom="1418" w:left="1814" w:header="851" w:footer="907" w:gutter="0"/>
          <w:pgNumType w:start="1"/>
          <w:cols w:space="720"/>
          <w:docGrid w:type="lines" w:linePitch="341" w:charSpace="2373"/>
        </w:sectPr>
      </w:pPr>
    </w:p>
    <w:p w:rsidR="00447A72" w:rsidRDefault="00447A72"/>
    <w:sectPr w:rsidR="00447A7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C6040"/>
    <w:rsid w:val="00447A72"/>
    <w:rsid w:val="00DC604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C604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C604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217</Words>
  <Characters>1237</Characters>
  <Application>Microsoft Office Word</Application>
  <DocSecurity>0</DocSecurity>
  <Lines>10</Lines>
  <Paragraphs>2</Paragraphs>
  <ScaleCrop>false</ScaleCrop>
  <Company>微软中国</Company>
  <LinksUpToDate>false</LinksUpToDate>
  <CharactersWithSpaces>1452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2023-09-13T09:58:00Z</dcterms:created>
</cp:coreProperties>
</file>