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BC9" w:rsidRDefault="000E0BC9" w:rsidP="003F03F4">
      <w:pPr>
        <w:pStyle w:val="1"/>
      </w:pPr>
      <w:r w:rsidRPr="003F03F4">
        <w:rPr>
          <w:rFonts w:hint="eastAsia"/>
        </w:rPr>
        <w:t>广东省加强自然资源要素保障</w:t>
      </w:r>
      <w:r w:rsidRPr="003F03F4">
        <w:t xml:space="preserve"> 探索实施</w:t>
      </w:r>
      <w:r w:rsidRPr="003F03F4">
        <w:t>“</w:t>
      </w:r>
      <w:r w:rsidRPr="003F03F4">
        <w:t>房券</w:t>
      </w:r>
      <w:r w:rsidRPr="003F03F4">
        <w:t>”“</w:t>
      </w:r>
      <w:r w:rsidRPr="003F03F4">
        <w:t>绿券</w:t>
      </w:r>
      <w:r w:rsidRPr="003F03F4">
        <w:t>”</w:t>
      </w:r>
      <w:r w:rsidRPr="003F03F4">
        <w:t>制度</w:t>
      </w:r>
    </w:p>
    <w:p w:rsidR="000E0BC9" w:rsidRDefault="000E0BC9" w:rsidP="000E0BC9">
      <w:pPr>
        <w:ind w:firstLineChars="200" w:firstLine="420"/>
      </w:pPr>
      <w:r>
        <w:rPr>
          <w:rFonts w:hint="eastAsia"/>
        </w:rPr>
        <w:t>近日，广东省自然资源厅正式印发《广东省自然资源厅关于加强自然资源要素保障</w:t>
      </w:r>
      <w:r>
        <w:t xml:space="preserve"> </w:t>
      </w:r>
      <w:r>
        <w:t>助力实施</w:t>
      </w:r>
      <w:r>
        <w:t>“</w:t>
      </w:r>
      <w:r>
        <w:t>百县千镇万村高质量发展工程</w:t>
      </w:r>
      <w:r>
        <w:t>”</w:t>
      </w:r>
      <w:r>
        <w:t>的通知》，围绕</w:t>
      </w:r>
      <w:r>
        <w:t>“</w:t>
      </w:r>
      <w:r>
        <w:t>强县、兴镇、富村</w:t>
      </w:r>
      <w:r>
        <w:t>”</w:t>
      </w:r>
      <w:r>
        <w:t>目标要求，提出进一步加强县域国土空间保障、强化用地用海用林用矿要素支撑、推进全域土地综合整治、提升资源利用效率等政策措施。</w:t>
      </w:r>
    </w:p>
    <w:p w:rsidR="000E0BC9" w:rsidRDefault="000E0BC9" w:rsidP="000E0BC9">
      <w:pPr>
        <w:ind w:firstLineChars="200" w:firstLine="420"/>
      </w:pPr>
      <w:r>
        <w:rPr>
          <w:rFonts w:hint="eastAsia"/>
        </w:rPr>
        <w:t>据了解，该通知自印发之日起</w:t>
      </w:r>
      <w:r>
        <w:t>1</w:t>
      </w:r>
      <w:r>
        <w:t>个月后施行，有效期</w:t>
      </w:r>
      <w:r>
        <w:t>5</w:t>
      </w:r>
      <w:r>
        <w:t>年。在加强国土空间规划保障方面，通知提出，鼓励有条件的乡镇按照详细规划深度编制镇级国土空间总体规划；鼓励在编制乡镇国土空间总体规划时，一并编制村庄规划，并同时报批。同时，在符合规定程序前提下，</w:t>
      </w:r>
      <w:r>
        <w:t>57</w:t>
      </w:r>
      <w:r>
        <w:t>个县（市）的乡镇国土空间总体规划可获优先审批；鼓励各地在乡镇国土空间总体规划和村庄规划编制中探索</w:t>
      </w:r>
      <w:r>
        <w:t>“</w:t>
      </w:r>
      <w:r>
        <w:t>留白</w:t>
      </w:r>
      <w:r>
        <w:t>”</w:t>
      </w:r>
      <w:r>
        <w:t>机制，预留一定比例建设用地机动指标，用以保障村民居住、农村公共公益设施、零星分散的乡村文旅设施及农村新产业新业态建设需求。</w:t>
      </w:r>
    </w:p>
    <w:p w:rsidR="000E0BC9" w:rsidRDefault="000E0BC9" w:rsidP="000E0BC9">
      <w:pPr>
        <w:ind w:firstLineChars="200" w:firstLine="420"/>
      </w:pPr>
      <w:r>
        <w:rPr>
          <w:rFonts w:hint="eastAsia"/>
        </w:rPr>
        <w:t>围绕“强县”目标要求，广东将强化对</w:t>
      </w:r>
      <w:r>
        <w:t>57</w:t>
      </w:r>
      <w:r>
        <w:t>个县（市）的资源要素倾斜支持，实施用地用林</w:t>
      </w:r>
      <w:r>
        <w:t>“</w:t>
      </w:r>
      <w:r>
        <w:t>指标池</w:t>
      </w:r>
      <w:r>
        <w:t>”</w:t>
      </w:r>
      <w:r>
        <w:t>制度。围绕</w:t>
      </w:r>
      <w:r>
        <w:t>“</w:t>
      </w:r>
      <w:r>
        <w:t>兴镇、富村</w:t>
      </w:r>
      <w:r>
        <w:t>”</w:t>
      </w:r>
      <w:r>
        <w:t>目标要求，广东鼓励创新乡村土地利用方式，支持各地探索点状用地，用好设施农业用地政策，保障乡村民宿等新产业新业态用地；鼓励盘活利用闲置宅基地和闲置农房，赋予农民更加充分的财产权益；鼓励农村集体经济组织按照《土地管理法》规定，通过集体建设用地使用权入股、联营等形式参与矿产资源开发，共享资源开发收益和发展成果。</w:t>
      </w:r>
    </w:p>
    <w:p w:rsidR="000E0BC9" w:rsidRDefault="000E0BC9" w:rsidP="000E0BC9">
      <w:pPr>
        <w:ind w:firstLineChars="200" w:firstLine="420"/>
      </w:pPr>
      <w:r>
        <w:rPr>
          <w:rFonts w:hint="eastAsia"/>
        </w:rPr>
        <w:t>针对试点县（市）推动全域土地综合整治积极性不高问题，广东鼓励以乡镇为单元实施全域土地综合整治项目，项目整体通过验收后，省级按照新增耕地面积</w:t>
      </w:r>
      <w:r>
        <w:t>5</w:t>
      </w:r>
      <w:r>
        <w:t>：</w:t>
      </w:r>
      <w:r>
        <w:t>1</w:t>
      </w:r>
      <w:r>
        <w:t>奖励该县（市）新增建设用地计划指标，单个项目奖励指标不超过</w:t>
      </w:r>
      <w:r>
        <w:t>1000</w:t>
      </w:r>
      <w:r>
        <w:t>亩。</w:t>
      </w:r>
    </w:p>
    <w:p w:rsidR="000E0BC9" w:rsidRDefault="000E0BC9" w:rsidP="000E0BC9">
      <w:pPr>
        <w:ind w:firstLineChars="200" w:firstLine="420"/>
      </w:pPr>
      <w:r>
        <w:rPr>
          <w:rFonts w:hint="eastAsia"/>
        </w:rPr>
        <w:t>围绕低效用地盘活问题，广东则支持各地在遵循自愿、公平、公开原则的前提下，探索实施“房券”“绿券”制度，具体操作办法由各地结合实际制定，以此推动全域土地综合整治，破解土地供需矛盾。同时，广东还将建立节约集约用地奖励机制，从</w:t>
      </w:r>
      <w:r>
        <w:t>2024</w:t>
      </w:r>
      <w:r>
        <w:t>年起，按</w:t>
      </w:r>
      <w:r>
        <w:t>57</w:t>
      </w:r>
      <w:r>
        <w:t>个县（市）创先、进位、消薄的不同类型，每年对单位国内生产总值建设用地使用面积和下降率加权值（各占</w:t>
      </w:r>
      <w:r>
        <w:t>50%</w:t>
      </w:r>
      <w:r>
        <w:t>）排名前三的县（市），分别实行新增建设用地计划指标奖励，进一步提高用地效益。</w:t>
      </w:r>
    </w:p>
    <w:p w:rsidR="000E0BC9" w:rsidRDefault="000E0BC9" w:rsidP="000E0BC9">
      <w:pPr>
        <w:ind w:firstLineChars="200" w:firstLine="420"/>
      </w:pPr>
      <w:r>
        <w:rPr>
          <w:rFonts w:hint="eastAsia"/>
        </w:rPr>
        <w:t>围绕推动现代化海洋牧场高质量发展，广东将支持沿海县立足本地优势，创建以现代化海洋牧场为重点的省级海洋经济高质量发展示范区；支持各地在</w:t>
      </w:r>
      <w:r>
        <w:t>15</w:t>
      </w:r>
      <w:r>
        <w:t>米等深线以深至领海线的中远海海域集中选划养殖区，实行整体海域使用论证；推行海域使用立体分层设权，支持现代化海洋牧场与休闲旅游、海上风电、海上光伏等用海活动融合发展。</w:t>
      </w:r>
    </w:p>
    <w:p w:rsidR="000E0BC9" w:rsidRDefault="000E0BC9" w:rsidP="000E0BC9">
      <w:pPr>
        <w:ind w:firstLineChars="200" w:firstLine="420"/>
      </w:pPr>
      <w:r>
        <w:rPr>
          <w:rFonts w:hint="eastAsia"/>
        </w:rPr>
        <w:t>广东将围绕强化土地一级市场管理要求，加强土地要素统筹保障和调控能力，更好发挥政府作用，实施土地储备新模式。储备土地的日常管护、前期开发等具体业务可由土地储备机构自行组织开展，也可由国有企业或相关单位配合实施。对土地储备新模式实施前开展的“三旧”改造项目，由各地级以上市根据当地实际明确新旧政策衔接规则。同时，在符合公共利益的前提下，支持在城镇开发边界内旧村庄改造中依法对集体土地进行征收。</w:t>
      </w:r>
    </w:p>
    <w:p w:rsidR="000E0BC9" w:rsidRDefault="000E0BC9" w:rsidP="003F03F4">
      <w:pPr>
        <w:jc w:val="right"/>
      </w:pPr>
      <w:r w:rsidRPr="003F03F4">
        <w:rPr>
          <w:rFonts w:hint="eastAsia"/>
        </w:rPr>
        <w:t>中国经济导报</w:t>
      </w:r>
      <w:r>
        <w:rPr>
          <w:rFonts w:hint="eastAsia"/>
        </w:rPr>
        <w:t>2023-9-11</w:t>
      </w:r>
    </w:p>
    <w:p w:rsidR="000E0BC9" w:rsidRDefault="000E0BC9" w:rsidP="00E61D21">
      <w:pPr>
        <w:sectPr w:rsidR="000E0BC9" w:rsidSect="00E61D2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C33A0" w:rsidRDefault="004C33A0"/>
    <w:sectPr w:rsidR="004C33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E0BC9"/>
    <w:rsid w:val="000E0BC9"/>
    <w:rsid w:val="004C33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E0BC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E0BC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1101</Characters>
  <Application>Microsoft Office Word</Application>
  <DocSecurity>0</DocSecurity>
  <Lines>9</Lines>
  <Paragraphs>2</Paragraphs>
  <ScaleCrop>false</ScaleCrop>
  <Company>微软中国</Company>
  <LinksUpToDate>false</LinksUpToDate>
  <CharactersWithSpaces>1291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2023-09-14T10:23:00Z</dcterms:created>
</cp:coreProperties>
</file>