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09B7" w:rsidRDefault="00DF392C" w:rsidP="000E3BE4">
      <w:pPr>
        <w:pStyle w:val="1"/>
      </w:pPr>
      <w:r>
        <w:rPr>
          <w:rFonts w:hint="eastAsia"/>
        </w:rPr>
        <w:t>河北：</w:t>
      </w:r>
      <w:r w:rsidR="00F109B7" w:rsidRPr="000E3BE4">
        <w:rPr>
          <w:rFonts w:hint="eastAsia"/>
        </w:rPr>
        <w:t>织密耕地保护网</w:t>
      </w:r>
      <w:r w:rsidR="00F109B7" w:rsidRPr="000E3BE4">
        <w:t xml:space="preserve"> 挖掘园区新潜能</w:t>
      </w:r>
    </w:p>
    <w:p w:rsidR="00F109B7" w:rsidRDefault="00F109B7" w:rsidP="00F109B7">
      <w:pPr>
        <w:ind w:firstLineChars="200" w:firstLine="420"/>
      </w:pPr>
      <w:r>
        <w:rPr>
          <w:rFonts w:hint="eastAsia"/>
        </w:rPr>
        <w:t>河北省是我国粮食生产大省，但面临着人多地少、人均耕地低于全国平均水平的严峻形势。近年来，河北省自然资源厅采取“长牙齿”的硬措施，落实最严格的耕地保护制度，按照“严控总量、做优增量、盘活存量、提高质量”的思路，健全落实节约集约用地共同责任机制，织密耕地保护网，挖掘园区新潜能，创新节地做法，全面开展节地增效专项行动。</w:t>
      </w:r>
    </w:p>
    <w:p w:rsidR="00F109B7" w:rsidRDefault="00F109B7" w:rsidP="00F109B7">
      <w:pPr>
        <w:ind w:firstLineChars="200" w:firstLine="420"/>
      </w:pPr>
      <w:r>
        <w:rPr>
          <w:rFonts w:hint="eastAsia"/>
        </w:rPr>
        <w:t>精准施策，守牢耕地保护红线</w:t>
      </w:r>
    </w:p>
    <w:p w:rsidR="00F109B7" w:rsidRDefault="00F109B7" w:rsidP="00F109B7">
      <w:pPr>
        <w:ind w:firstLineChars="200" w:firstLine="420"/>
      </w:pPr>
      <w:r>
        <w:rPr>
          <w:rFonts w:hint="eastAsia"/>
        </w:rPr>
        <w:t>为全力做好耕地保护工作，我省采取严控用途、完善政策、严格监管、强化责任等举措，建立长效机制，精准施策，织密耕地保护网，做到现状耕地应划尽划、应保尽保。</w:t>
      </w:r>
    </w:p>
    <w:p w:rsidR="00F109B7" w:rsidRDefault="00F109B7" w:rsidP="00F109B7">
      <w:pPr>
        <w:ind w:firstLineChars="200" w:firstLine="420"/>
      </w:pPr>
      <w:r>
        <w:rPr>
          <w:rFonts w:hint="eastAsia"/>
        </w:rPr>
        <w:t>一是应划尽划，优先划定耕地保护红线。省自然资源厅在“三区三线”划定中，把耕地保护红线放在首要位置，省划定耕地</w:t>
      </w:r>
      <w:r>
        <w:t>8802</w:t>
      </w:r>
      <w:r>
        <w:t>万亩、永久基本农田</w:t>
      </w:r>
      <w:r>
        <w:t>7667</w:t>
      </w:r>
      <w:r>
        <w:t>万亩。严格落实永久基本农田数量、质量要求，确保粮、棉、油、糖等重要农产品生产基地内可长期稳定利用的耕地全部划入永久基本农田。坚持</w:t>
      </w:r>
      <w:r>
        <w:t>“</w:t>
      </w:r>
      <w:r>
        <w:t>数、线、图</w:t>
      </w:r>
      <w:r>
        <w:t>”</w:t>
      </w:r>
      <w:r>
        <w:t>一致原则，足额带位置逐级分解下达耕地保有量和永久基本农田保护任务，确保能落地、可考核、可追责。</w:t>
      </w:r>
    </w:p>
    <w:p w:rsidR="00F109B7" w:rsidRDefault="00F109B7" w:rsidP="00F109B7">
      <w:pPr>
        <w:ind w:firstLineChars="200" w:firstLine="420"/>
      </w:pPr>
      <w:r>
        <w:rPr>
          <w:rFonts w:hint="eastAsia"/>
        </w:rPr>
        <w:t>二是从严从实，不断强化耕地用途管制。省自然资源厅严禁一般项目占用永久基本农田，国家能源、交通、水利等重大建设项目占用永久基本农田的，严格落实“数量不减、质量不降、布局稳定”的要求进行补划。</w:t>
      </w:r>
      <w:r>
        <w:t>2022</w:t>
      </w:r>
      <w:r>
        <w:t>年国土变更调查显示，全省年内耕地增加</w:t>
      </w:r>
      <w:r>
        <w:t>60</w:t>
      </w:r>
      <w:r>
        <w:t>余万亩。严格管控耕地转为其他农用地，该厅开展了耕地不合理流出问题排查整改、耕地保护重点问题专项治理等行动，并建立了提醒函制度，压实各级政府主体责任，全省耕地减少趋势得到有效遏制。</w:t>
      </w:r>
    </w:p>
    <w:p w:rsidR="00F109B7" w:rsidRDefault="00F109B7" w:rsidP="00F109B7">
      <w:pPr>
        <w:ind w:firstLineChars="200" w:firstLine="420"/>
      </w:pPr>
      <w:r>
        <w:rPr>
          <w:rFonts w:hint="eastAsia"/>
        </w:rPr>
        <w:t>三是建立机制，压实耕地保护共同责任。省自然资源厅先后印发《河北省耕地占补平衡管理办法》《河北省耕地进出平衡管理办法（试行）》等文件，建立完善“占补平衡”“进出平衡”等制度机制。同时，该厅建立党委领导、政府负责、部门协同、公众参与、上下联动的耕地保护共同责任机制，压实市、县党委政府主体责任，推进耕地保护工作制度化、规范化、常态化，确保耕地保护责任落实到位。截至今年</w:t>
      </w:r>
      <w:r>
        <w:t>5</w:t>
      </w:r>
      <w:r>
        <w:t>月底，全省新增补充耕地</w:t>
      </w:r>
      <w:r>
        <w:t>1.26</w:t>
      </w:r>
      <w:r>
        <w:t>万亩。</w:t>
      </w:r>
    </w:p>
    <w:p w:rsidR="00F109B7" w:rsidRDefault="00F109B7" w:rsidP="00F109B7">
      <w:pPr>
        <w:ind w:firstLineChars="200" w:firstLine="420"/>
      </w:pPr>
      <w:r>
        <w:rPr>
          <w:rFonts w:hint="eastAsia"/>
        </w:rPr>
        <w:t>四是严格执法，助推耕保监管常态长效。省自然资源厅创新监管方式，利用遥感监测、视频监控、手机</w:t>
      </w:r>
      <w:r>
        <w:t>APP</w:t>
      </w:r>
      <w:r>
        <w:t>等技术手段，提升日常监管的时效性、精确性、系统性。健全完善</w:t>
      </w:r>
      <w:r>
        <w:t>“</w:t>
      </w:r>
      <w:r>
        <w:t>早发现、早制止、严查处</w:t>
      </w:r>
      <w:r>
        <w:t>”</w:t>
      </w:r>
      <w:r>
        <w:t>工作机制，推动建立田长制，实现县、乡、村三级联动、全域覆盖的耕地保护网格化监管体系。做好耕地卫片监督，动态监测监管耕地变为林地、园地、草地等其他类型农用地及农业设施建设用地等情况，严厉打击占用耕地行为。截至目前，全省</w:t>
      </w:r>
      <w:r>
        <w:t>134</w:t>
      </w:r>
      <w:r>
        <w:t>个县（市、区）建立了田长制，形成了网格化监管体系，大力提升了耕地保护效率。</w:t>
      </w:r>
    </w:p>
    <w:p w:rsidR="00F109B7" w:rsidRDefault="00F109B7" w:rsidP="00F109B7">
      <w:pPr>
        <w:ind w:firstLineChars="200" w:firstLine="420"/>
      </w:pPr>
      <w:r>
        <w:rPr>
          <w:rFonts w:hint="eastAsia"/>
        </w:rPr>
        <w:t>多措并举，促进园区盘活更新</w:t>
      </w:r>
    </w:p>
    <w:p w:rsidR="00F109B7" w:rsidRDefault="00F109B7" w:rsidP="00F109B7">
      <w:pPr>
        <w:ind w:firstLineChars="200" w:firstLine="420"/>
      </w:pPr>
      <w:r>
        <w:rPr>
          <w:rFonts w:hint="eastAsia"/>
        </w:rPr>
        <w:t>近年来，省自然资源厅切实转变思想观念，统筹好当前与长远，处理好保护与开发的关系，通过“标准地”出让、项目“进园入区”、兼容复合利用等措施，既做好土地要素精准高效配置，又处置好低效闲置存量土地，努力走出一条节约优先、保护优先的高质量发展之路。</w:t>
      </w:r>
    </w:p>
    <w:p w:rsidR="00F109B7" w:rsidRDefault="00F109B7" w:rsidP="00F109B7">
      <w:pPr>
        <w:ind w:firstLineChars="200" w:firstLine="420"/>
      </w:pPr>
      <w:r>
        <w:rPr>
          <w:rFonts w:hint="eastAsia"/>
        </w:rPr>
        <w:t>一是强化规划引领，产业向开发区集聚。省自然资源厅坚持布局集中、产业聚集、用地集约、功能融合，促进开发区产业聚集聚合、提质提效。全省开发区土地开发率由</w:t>
      </w:r>
      <w:r>
        <w:t>2018</w:t>
      </w:r>
      <w:r>
        <w:t>年的</w:t>
      </w:r>
      <w:r>
        <w:t>55.92%</w:t>
      </w:r>
      <w:r>
        <w:t>提升到</w:t>
      </w:r>
      <w:r>
        <w:t>2022</w:t>
      </w:r>
      <w:r>
        <w:t>年的</w:t>
      </w:r>
      <w:r>
        <w:t>63.09%</w:t>
      </w:r>
      <w:r>
        <w:t>、亩均投资强度由</w:t>
      </w:r>
      <w:r>
        <w:t>2018</w:t>
      </w:r>
      <w:r>
        <w:t>年的</w:t>
      </w:r>
      <w:r>
        <w:t>395</w:t>
      </w:r>
      <w:r>
        <w:t>万元提升到</w:t>
      </w:r>
      <w:r>
        <w:t>2022</w:t>
      </w:r>
      <w:r>
        <w:t>年的</w:t>
      </w:r>
      <w:r>
        <w:t>508</w:t>
      </w:r>
      <w:r>
        <w:t>万元。位于鹿泉区经济开发区的光谷科技园，结合自身实际，统一规划、统一地价、统一配套、统一物业，合理规划园区功能，建设了高标准厂房，共用配套设施，节约用地约</w:t>
      </w:r>
      <w:r>
        <w:t>20%</w:t>
      </w:r>
      <w:r>
        <w:t>，实现了土地集约高效利</w:t>
      </w:r>
      <w:r>
        <w:lastRenderedPageBreak/>
        <w:t>用。</w:t>
      </w:r>
    </w:p>
    <w:p w:rsidR="00F109B7" w:rsidRDefault="00F109B7" w:rsidP="00F109B7">
      <w:pPr>
        <w:ind w:firstLineChars="200" w:firstLine="420"/>
      </w:pPr>
      <w:r>
        <w:rPr>
          <w:rFonts w:hint="eastAsia"/>
        </w:rPr>
        <w:t>二是坚持内涵挖掘，向存量土地要效益。省自然资源厅通过“腾笼换鸟”、转型升级、技术改造等方式，充分释放存量建设用地潜力。位于望都县的省级重点项目浙商·和谷国际智能港，占地</w:t>
      </w:r>
      <w:r>
        <w:t>3300</w:t>
      </w:r>
      <w:r>
        <w:t>亩、投资</w:t>
      </w:r>
      <w:r>
        <w:t>98</w:t>
      </w:r>
      <w:r>
        <w:t>亿元，是集企业总部、研发孵化、商业生活配套等于一体的新型综合创新工业示范园区。这里原本是千祥纺织厂等</w:t>
      </w:r>
      <w:r>
        <w:t>17</w:t>
      </w:r>
      <w:r>
        <w:t>家停产多年老旧企业的存量低效用地，</w:t>
      </w:r>
      <w:r>
        <w:t>“</w:t>
      </w:r>
      <w:r>
        <w:t>腾笼换鸟</w:t>
      </w:r>
      <w:r>
        <w:t>”</w:t>
      </w:r>
      <w:r>
        <w:t>后，吸引来一批高新技术项目入驻园区，闲置多年的园区重新焕发生机。</w:t>
      </w:r>
    </w:p>
    <w:p w:rsidR="00F109B7" w:rsidRDefault="00F109B7" w:rsidP="00F109B7">
      <w:pPr>
        <w:ind w:firstLineChars="200" w:firstLine="420"/>
      </w:pPr>
      <w:r>
        <w:rPr>
          <w:rFonts w:hint="eastAsia"/>
        </w:rPr>
        <w:t>三是推动复合利用，向地上地下要空间。省自然资源厅支持土地用途兼容复合利用，积极引导企业对行政办公、科技研发等建筑进行科学立体化布局，通过地上建设多层标准化厂房、地下建设多功能综合空间，做到地尽其用。位于邢台宁晋的童泰婴幼儿服饰有限公司，把土地利用方式由“摊大饼”变成“搭积木”，仅用</w:t>
      </w:r>
      <w:r>
        <w:t>40</w:t>
      </w:r>
      <w:r>
        <w:t>亩土地建造了原需</w:t>
      </w:r>
      <w:r>
        <w:t>400</w:t>
      </w:r>
      <w:r>
        <w:t>亩土地才能建成的多功能立体化厂房，节地率达</w:t>
      </w:r>
      <w:r>
        <w:t>90%</w:t>
      </w:r>
      <w:r>
        <w:t>。</w:t>
      </w:r>
      <w:r>
        <w:t>2022</w:t>
      </w:r>
      <w:r>
        <w:t>年，该案例入选自然资源部第三批《节地技术和节地模式推荐目录》。</w:t>
      </w:r>
    </w:p>
    <w:p w:rsidR="00F109B7" w:rsidRDefault="00F109B7" w:rsidP="00F109B7">
      <w:pPr>
        <w:ind w:firstLineChars="200" w:firstLine="420"/>
      </w:pPr>
      <w:r>
        <w:rPr>
          <w:rFonts w:hint="eastAsia"/>
        </w:rPr>
        <w:t>四是推行“标准地”出让，企业落地全面提速。省自然资源厅全面推行新增工业用地“标准地”出让，在完成相关区域评估基础上，通过事前定标准，明确投资强度、亩均税收、建筑容积率等控制性指标，实现土地利用效率全面提升，“交地即交证”“拿地即开工”常态化。占地</w:t>
      </w:r>
      <w:r>
        <w:t>71.67</w:t>
      </w:r>
      <w:r>
        <w:t>亩的邢台东裕科技产业园项目通过</w:t>
      </w:r>
      <w:r>
        <w:t>“</w:t>
      </w:r>
      <w:r>
        <w:t>标准地</w:t>
      </w:r>
      <w:r>
        <w:t>”</w:t>
      </w:r>
      <w:r>
        <w:t>出让，亩均投资强度达</w:t>
      </w:r>
      <w:r>
        <w:t>1117</w:t>
      </w:r>
      <w:r>
        <w:t>万元，园区容积率达</w:t>
      </w:r>
      <w:r>
        <w:t>2.3</w:t>
      </w:r>
      <w:r>
        <w:t>，节地成效明显。</w:t>
      </w:r>
    </w:p>
    <w:p w:rsidR="00F109B7" w:rsidRDefault="00F109B7" w:rsidP="000E3BE4">
      <w:pPr>
        <w:jc w:val="right"/>
      </w:pPr>
      <w:r w:rsidRPr="000E3BE4">
        <w:rPr>
          <w:rFonts w:hint="eastAsia"/>
        </w:rPr>
        <w:t>中国自然资源报</w:t>
      </w:r>
      <w:r>
        <w:rPr>
          <w:rFonts w:hint="eastAsia"/>
        </w:rPr>
        <w:t xml:space="preserve"> 2023-9-14</w:t>
      </w:r>
    </w:p>
    <w:p w:rsidR="00F109B7" w:rsidRDefault="00F109B7" w:rsidP="004A127D">
      <w:pPr>
        <w:sectPr w:rsidR="00F109B7" w:rsidSect="004A127D">
          <w:type w:val="continuous"/>
          <w:pgSz w:w="11906" w:h="16838"/>
          <w:pgMar w:top="1644" w:right="1236" w:bottom="1418" w:left="1814" w:header="851" w:footer="907" w:gutter="0"/>
          <w:pgNumType w:start="1"/>
          <w:cols w:space="720"/>
          <w:docGrid w:type="lines" w:linePitch="341" w:charSpace="2373"/>
        </w:sectPr>
      </w:pPr>
    </w:p>
    <w:p w:rsidR="000D6CF3" w:rsidRDefault="000D6CF3"/>
    <w:sectPr w:rsidR="000D6CF3" w:rsidSect="00753B3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37AA0" w:rsidRDefault="00A37AA0" w:rsidP="00DF392C">
      <w:r>
        <w:separator/>
      </w:r>
    </w:p>
  </w:endnote>
  <w:endnote w:type="continuationSeparator" w:id="1">
    <w:p w:rsidR="00A37AA0" w:rsidRDefault="00A37AA0" w:rsidP="00DF392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37AA0" w:rsidRDefault="00A37AA0" w:rsidP="00DF392C">
      <w:r>
        <w:separator/>
      </w:r>
    </w:p>
  </w:footnote>
  <w:footnote w:type="continuationSeparator" w:id="1">
    <w:p w:rsidR="00A37AA0" w:rsidRDefault="00A37AA0" w:rsidP="00DF392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109B7"/>
    <w:rsid w:val="000D6CF3"/>
    <w:rsid w:val="00753B31"/>
    <w:rsid w:val="00A37AA0"/>
    <w:rsid w:val="00DF392C"/>
    <w:rsid w:val="00F109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3B31"/>
    <w:pPr>
      <w:widowControl w:val="0"/>
      <w:jc w:val="both"/>
    </w:pPr>
  </w:style>
  <w:style w:type="paragraph" w:styleId="1">
    <w:name w:val="heading 1"/>
    <w:basedOn w:val="a"/>
    <w:next w:val="a"/>
    <w:link w:val="1Char"/>
    <w:qFormat/>
    <w:rsid w:val="00F109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09B7"/>
    <w:rPr>
      <w:rFonts w:ascii="黑体" w:eastAsia="黑体" w:hAnsi="宋体" w:cs="Times New Roman"/>
      <w:b/>
      <w:kern w:val="36"/>
      <w:sz w:val="32"/>
      <w:szCs w:val="32"/>
    </w:rPr>
  </w:style>
  <w:style w:type="paragraph" w:styleId="a3">
    <w:name w:val="header"/>
    <w:basedOn w:val="a"/>
    <w:link w:val="Char"/>
    <w:uiPriority w:val="99"/>
    <w:semiHidden/>
    <w:unhideWhenUsed/>
    <w:rsid w:val="00DF392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F392C"/>
    <w:rPr>
      <w:sz w:val="18"/>
      <w:szCs w:val="18"/>
    </w:rPr>
  </w:style>
  <w:style w:type="paragraph" w:styleId="a4">
    <w:name w:val="footer"/>
    <w:basedOn w:val="a"/>
    <w:link w:val="Char0"/>
    <w:uiPriority w:val="99"/>
    <w:semiHidden/>
    <w:unhideWhenUsed/>
    <w:rsid w:val="00DF392C"/>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F392C"/>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311</Words>
  <Characters>1776</Characters>
  <Application>Microsoft Office Word</Application>
  <DocSecurity>0</DocSecurity>
  <Lines>14</Lines>
  <Paragraphs>4</Paragraphs>
  <ScaleCrop>false</ScaleCrop>
  <Company>Microsoft</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3</cp:revision>
  <dcterms:created xsi:type="dcterms:W3CDTF">2023-11-13T08:34:00Z</dcterms:created>
  <dcterms:modified xsi:type="dcterms:W3CDTF">2023-11-24T02:18:00Z</dcterms:modified>
</cp:coreProperties>
</file>