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5685" w:rsidRDefault="00FB5685" w:rsidP="00016F47">
      <w:pPr>
        <w:pStyle w:val="1"/>
      </w:pPr>
      <w:r w:rsidRPr="00016F47">
        <w:rPr>
          <w:rFonts w:hint="eastAsia"/>
        </w:rPr>
        <w:t>海安农商银行探索金融标准化打造“全生命周期”科企服务体系</w:t>
      </w:r>
    </w:p>
    <w:p w:rsidR="00FB5685" w:rsidRDefault="00FB5685" w:rsidP="00FB5685">
      <w:pPr>
        <w:ind w:firstLineChars="200" w:firstLine="420"/>
      </w:pPr>
      <w:r>
        <w:rPr>
          <w:rFonts w:hint="eastAsia"/>
        </w:rPr>
        <w:t>标准助推创新发展，引领时代进步，标准化建设是推动金融业高质量发展的必由之路。近年来，海安农商银行积极践行“金融标准</w:t>
      </w:r>
      <w:r>
        <w:t xml:space="preserve"> </w:t>
      </w:r>
      <w:r>
        <w:t>为民利企</w:t>
      </w:r>
      <w:r>
        <w:t>”</w:t>
      </w:r>
      <w:r>
        <w:t>的发展理念，强化金融工作的人民性，秉承</w:t>
      </w:r>
      <w:r>
        <w:t>“</w:t>
      </w:r>
      <w:r>
        <w:t>让老百姓满意的自己的银行</w:t>
      </w:r>
      <w:r>
        <w:t>”</w:t>
      </w:r>
      <w:r>
        <w:t>服务理念，应客户所需，立金融所能，扬地方法人所长，让金融服务人民更有广度、更有深度、更有温度。</w:t>
      </w:r>
    </w:p>
    <w:p w:rsidR="00FB5685" w:rsidRDefault="00FB5685" w:rsidP="00FB5685">
      <w:pPr>
        <w:ind w:firstLineChars="200" w:firstLine="420"/>
      </w:pPr>
      <w:r>
        <w:rPr>
          <w:rFonts w:hint="eastAsia"/>
        </w:rPr>
        <w:t>日前，由海安农商银行研制的《科创型企业金融服务规范》（</w:t>
      </w:r>
      <w:r>
        <w:t>Q/HRCB 005—2023</w:t>
      </w:r>
      <w:r>
        <w:t>）正式发布，并在全国企业标准信息公共服务平台公开，这也是省内首个科创型企业金融服务标准。项目伊始，海安农商银行充分发挥</w:t>
      </w:r>
      <w:r>
        <w:t>3</w:t>
      </w:r>
      <w:r>
        <w:t>年蝉联全国银行营业网点服务领域企业标准</w:t>
      </w:r>
      <w:r>
        <w:t>“</w:t>
      </w:r>
      <w:r>
        <w:t>领跑者</w:t>
      </w:r>
      <w:r>
        <w:t>”</w:t>
      </w:r>
      <w:r>
        <w:t>的优势，把企业标准体系向科技金融重点领域拓展，打造金融标准化、精准化支持科创企业发展的海安样本。一是上级部门高度重视。在制定标准过程中，人民银行南通市分行领导多次莅临该行，通过召开座谈会、走访企业等多种形式进行指导，同时邀请南通市质量中心专家进行审核，推动</w:t>
      </w:r>
      <w:r>
        <w:rPr>
          <w:rFonts w:hint="eastAsia"/>
        </w:rPr>
        <w:t>科技金融服务规范由“点”到“面”的突破。二是加强科创金融学习。科创金融工作涉及面广、专业性强，既要有丰富的金融知识和实践经验，又要对新兴技术、新兴市场有深入了解，该行不断加强科创企业信贷业务的培训和经验交流，学习规范标准，解决客户经理“不会做”的问题。三是创新服务科创企业。该行按照规范标准，积极创新服务理念、机制、模式和产品，提高审批效率和风控水平，以有高度、有深度、有温度的服务助力科创企业发展得更快、更精、更强。将继续围绕盘活科创企业“人才”“智力”等资产，创新产品和服务方案，加大综合服务和全量融资支持。</w:t>
      </w:r>
    </w:p>
    <w:p w:rsidR="00FB5685" w:rsidRDefault="00FB5685" w:rsidP="00FB5685">
      <w:pPr>
        <w:ind w:firstLineChars="200" w:firstLine="420"/>
      </w:pPr>
      <w:r>
        <w:rPr>
          <w:rFonts w:hint="eastAsia"/>
        </w:rPr>
        <w:t>在人民银行南通市分行的精心指导下，该行积极梳理本行科创金融机制建设、产品供给和服务流程等，借鉴吸收同业先进做法，研制具有自身特色的科创企业金融服务规范，正式发布省内首个科创型企业金融服务企业标准，探索以标准化手段强化对科技创新企业全生命周期金融服务，为辖内科创企业发展注入金融新动能。截至</w:t>
      </w:r>
      <w:r>
        <w:t>8</w:t>
      </w:r>
      <w:r>
        <w:t>月末，该行支持科技型企业</w:t>
      </w:r>
      <w:r>
        <w:t>524</w:t>
      </w:r>
      <w:r>
        <w:t>户，贷款余额</w:t>
      </w:r>
      <w:r>
        <w:t>90.45</w:t>
      </w:r>
      <w:r>
        <w:t>亿元，比年初增加</w:t>
      </w:r>
      <w:r>
        <w:t>83</w:t>
      </w:r>
      <w:r>
        <w:t>户，</w:t>
      </w:r>
      <w:r>
        <w:t>23.09</w:t>
      </w:r>
      <w:r>
        <w:t>亿元。</w:t>
      </w:r>
    </w:p>
    <w:p w:rsidR="00FB5685" w:rsidRDefault="00FB5685" w:rsidP="00FB5685">
      <w:pPr>
        <w:ind w:firstLineChars="200" w:firstLine="420"/>
      </w:pPr>
      <w:r>
        <w:rPr>
          <w:rFonts w:hint="eastAsia"/>
        </w:rPr>
        <w:t>一是设立专营机构，持续完善服务体系。成立海安市首家科技支行，作为服务科创型企业的专营机构，推进科技与金融深度融合，以专向定位、专业团队、专属产品、专项规模、专门利率、专用机制的“六专”模式，有效解决科技企业融资难题。同时，结合业务发展情况，逐步增补具有专业知识背景的员工，形成专营科技金融服务团队，为科技型企业提供“融资</w:t>
      </w:r>
      <w:r>
        <w:t>+</w:t>
      </w:r>
      <w:r>
        <w:t>融智</w:t>
      </w:r>
      <w:r>
        <w:t>”</w:t>
      </w:r>
      <w:r>
        <w:t>一揽子金融服务。目前科技支行已成为该行服务中小科技型企业的主要机构，支行员工</w:t>
      </w:r>
      <w:r>
        <w:t>21</w:t>
      </w:r>
      <w:r>
        <w:t>人，其中客户经理</w:t>
      </w:r>
      <w:r>
        <w:t>11</w:t>
      </w:r>
      <w:r>
        <w:t>人。总行公司业务部派驻</w:t>
      </w:r>
      <w:r>
        <w:t>2</w:t>
      </w:r>
      <w:r>
        <w:t>名对公贷款管理经验成熟的大客户经理至科技支行，负责服务中</w:t>
      </w:r>
      <w:r>
        <w:rPr>
          <w:rFonts w:hint="eastAsia"/>
        </w:rPr>
        <w:t>型以上科技型企业，发放</w:t>
      </w:r>
      <w:r>
        <w:t>3000</w:t>
      </w:r>
      <w:r>
        <w:t>万元以上科企贷款，进一步完善服务机制、健全服务体系，提升金融服务受益覆盖面。</w:t>
      </w:r>
    </w:p>
    <w:p w:rsidR="00FB5685" w:rsidRDefault="00FB5685" w:rsidP="00FB5685">
      <w:pPr>
        <w:ind w:firstLineChars="200" w:firstLine="420"/>
      </w:pPr>
      <w:r>
        <w:rPr>
          <w:rFonts w:hint="eastAsia"/>
        </w:rPr>
        <w:t>二是找准展业方向，拓宽科创金融服务。该行充分利用资源禀赋与专业优势，在政策了解、信息共享和资源协同等方面开展对外合作，了解和跟进重点发展布局产业、战略新兴产业、技术创新、产业升级等领域，获取第一手重点企业名录，做到布局在前、谋定而动，积极开展“科技型企业行”“园区行”等活动，持续深化全方位合作，形成资源共享，拓宽批量获客渠道。江苏图灵智能机器人有限公司，系海安从上海招商引资过来，是一家专业从事研发生产</w:t>
      </w:r>
      <w:r>
        <w:t>SCARA</w:t>
      </w:r>
      <w:r>
        <w:t>机器人的高新技术企业，该行与科技局共同走访中发现企业有研发资金需求，该行多次深入企业调研，根据</w:t>
      </w:r>
      <w:r>
        <w:rPr>
          <w:rFonts w:hint="eastAsia"/>
        </w:rPr>
        <w:t>企业轻资产的特征，给予其</w:t>
      </w:r>
      <w:r>
        <w:t>200</w:t>
      </w:r>
      <w:r>
        <w:t>万元的信用贷款支持，满足企业资金需求。</w:t>
      </w:r>
    </w:p>
    <w:p w:rsidR="00FB5685" w:rsidRDefault="00FB5685" w:rsidP="00FB5685">
      <w:pPr>
        <w:ind w:firstLineChars="200" w:firstLine="420"/>
      </w:pPr>
      <w:r>
        <w:rPr>
          <w:rFonts w:hint="eastAsia"/>
        </w:rPr>
        <w:t>三是优化审批流程，有效提升服务质效。传统信贷模式主要依靠土地、厂房等硬资产抵押，与科技型企业主要拥有的专利权、商标权等软资产特点不太匹配，银行服务科技型企业风险与收益也不相匹配，存在客户进不来、审批难度大、客户经理不敢做等问题。该行以科技金融转型为切入点，积极融入优质企业梯度培育体系，针对企业在初创、成长、成熟等不同生命周期的金融需求特征，量身定制金融产品，配套推广“科创贷”“苏科贷”“知易贷”“人才贷”等特色产品应用，积极构建科技型企业从孵化期到发展成为“专精特新”企业的全生命周期服务体系，有效提升办贷速度。经调查符合贷款条件的，客户经理在一个工作日内完成调查分析报告提交总行，由专业授信审批团队一个工作日内完成授信审批，审批未通过的退回客户经理，并提出书面意见，需补充资料的在一个工作日内补充完整。授信审批通过，客户经理在信贷系统内提起放款申请，用信中心二十分钟内完成用信审核。南通科星化工股份有限公司是一家专门生产销售重油垢清洗剂的科技型中小企业，多次获得省级高新技术产品奖，</w:t>
      </w:r>
      <w:r>
        <w:t>2023</w:t>
      </w:r>
      <w:r>
        <w:t>年企业谋划战略性规模扩张，急需资金进行技改投入。秉承</w:t>
      </w:r>
      <w:r>
        <w:t>“</w:t>
      </w:r>
      <w:r>
        <w:t>一企一策、特事特办、急事争办</w:t>
      </w:r>
      <w:r>
        <w:t>”</w:t>
      </w:r>
      <w:r>
        <w:t>原则，该行启动科创企业审批流程，两个工作</w:t>
      </w:r>
      <w:r>
        <w:rPr>
          <w:rFonts w:hint="eastAsia"/>
        </w:rPr>
        <w:t>日内完成</w:t>
      </w:r>
      <w:r>
        <w:t>500</w:t>
      </w:r>
      <w:r>
        <w:t>万元授信审批、用信审核，为企业更新自动化生产设备及精密检测仪器提供支持。</w:t>
      </w:r>
    </w:p>
    <w:p w:rsidR="00FB5685" w:rsidRDefault="00FB5685" w:rsidP="00FB5685">
      <w:pPr>
        <w:ind w:firstLineChars="200" w:firstLine="420"/>
      </w:pPr>
      <w:r>
        <w:rPr>
          <w:rFonts w:hint="eastAsia"/>
        </w:rPr>
        <w:t>四是完善风控体系，夯实贷后管理基础。该行重点优化风险管理工具，对现有贷后管理工具进行针对性调整，强化对技术先进性、研发资金投入、成果转化进度等指标的跟踪，促进数字化风控转型，提高风险防控能力。贷后管理人员分析制定全行科技型企业风险预警模型，在贷后检查时，除分析财务指标等显性的经营表现，重点关注企业技术的发展、行业地位的变化等，将科创企业的成长性和后续融资能力等纳入评价要素，并运用科技手段进行数据分析，同时结合省联社风险预警系统，准确识别和处置科企风险，护航科创企业高质量发展。南通碧水新材料科技有限公司，在该行办理知识产权质押贷款</w:t>
      </w:r>
      <w:r>
        <w:t>600</w:t>
      </w:r>
      <w:r>
        <w:t>万元，贷后管理平台发出</w:t>
      </w:r>
      <w:r>
        <w:t xml:space="preserve"> “</w:t>
      </w:r>
      <w:r>
        <w:t>三个月待缴年费提醒</w:t>
      </w:r>
      <w:r>
        <w:t>”</w:t>
      </w:r>
      <w:r>
        <w:t>数据，该公司专利年费缴纳时间将到期，该行及时提醒公司缴纳年费，实现贷款无缝对接。</w:t>
      </w:r>
    </w:p>
    <w:p w:rsidR="00FB5685" w:rsidRDefault="00FB5685" w:rsidP="00FB5685">
      <w:pPr>
        <w:ind w:firstLineChars="200" w:firstLine="420"/>
      </w:pPr>
      <w:r>
        <w:rPr>
          <w:rFonts w:hint="eastAsia"/>
        </w:rPr>
        <w:t>标准决定质量，只有高标准才有高质量。海安农商银行将持续以金融标准实施和金融科技应用为引领，纵深推进专业化、精细化和特色化的金融服务，为打造苏中最优秀社区银行提供坚实基础，为南通地区经济发展提供金融动力。</w:t>
      </w:r>
    </w:p>
    <w:p w:rsidR="00FB5685" w:rsidRDefault="00FB5685" w:rsidP="00016F47">
      <w:pPr>
        <w:ind w:firstLine="420"/>
        <w:jc w:val="right"/>
      </w:pPr>
      <w:r w:rsidRPr="00016F47">
        <w:rPr>
          <w:rFonts w:hint="eastAsia"/>
        </w:rPr>
        <w:t>中国金融新闻网</w:t>
      </w:r>
      <w:r>
        <w:rPr>
          <w:rFonts w:hint="eastAsia"/>
        </w:rPr>
        <w:t>2023-9-20</w:t>
      </w:r>
    </w:p>
    <w:p w:rsidR="00FB5685" w:rsidRDefault="00FB5685" w:rsidP="001067D5">
      <w:pPr>
        <w:sectPr w:rsidR="00FB5685" w:rsidSect="001067D5">
          <w:type w:val="continuous"/>
          <w:pgSz w:w="11906" w:h="16838"/>
          <w:pgMar w:top="1644" w:right="1236" w:bottom="1418" w:left="1814" w:header="851" w:footer="907" w:gutter="0"/>
          <w:pgNumType w:start="1"/>
          <w:cols w:space="720"/>
          <w:docGrid w:type="lines" w:linePitch="341" w:charSpace="2373"/>
        </w:sectPr>
      </w:pPr>
    </w:p>
    <w:p w:rsidR="00C71F42" w:rsidRDefault="00C71F42"/>
    <w:sectPr w:rsidR="00C71F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5685"/>
    <w:rsid w:val="00C71F42"/>
    <w:rsid w:val="00FB56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56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56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370</Words>
  <Characters>2112</Characters>
  <Application>Microsoft Office Word</Application>
  <DocSecurity>0</DocSecurity>
  <Lines>17</Lines>
  <Paragraphs>4</Paragraphs>
  <ScaleCrop>false</ScaleCrop>
  <Company>Microsoft</Company>
  <LinksUpToDate>false</LinksUpToDate>
  <CharactersWithSpaces>2478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2023-11-09T06:29:00Z</dcterms:created>
</cp:coreProperties>
</file>