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1C1" w:rsidRDefault="009271C1" w:rsidP="0083634B">
      <w:pPr>
        <w:pStyle w:val="1"/>
      </w:pPr>
      <w:r w:rsidRPr="0083634B">
        <w:rPr>
          <w:rFonts w:hint="eastAsia"/>
        </w:rPr>
        <w:t>阳谷农商银行：续写高质量发展新篇章</w:t>
      </w:r>
    </w:p>
    <w:p w:rsidR="009271C1" w:rsidRDefault="009271C1" w:rsidP="009271C1">
      <w:pPr>
        <w:ind w:firstLineChars="200" w:firstLine="420"/>
      </w:pPr>
      <w:r>
        <w:rPr>
          <w:rFonts w:hint="eastAsia"/>
        </w:rPr>
        <w:t>近年来，阳谷农商银行牢固以“百姓银行</w:t>
      </w:r>
      <w:r>
        <w:t xml:space="preserve"> </w:t>
      </w:r>
      <w:r>
        <w:t>幸福共享</w:t>
      </w:r>
      <w:r>
        <w:t>”</w:t>
      </w:r>
      <w:r>
        <w:t>为发展愿景，厚植</w:t>
      </w:r>
      <w:r>
        <w:t>“</w:t>
      </w:r>
      <w:r>
        <w:t>暖银行</w:t>
      </w:r>
      <w:r>
        <w:t xml:space="preserve"> </w:t>
      </w:r>
      <w:r>
        <w:t>快银行</w:t>
      </w:r>
      <w:r>
        <w:t>”</w:t>
      </w:r>
      <w:r>
        <w:t>的服务理念，金融支持实体经济高质量发展的能力显著增强。截至</w:t>
      </w:r>
      <w:r>
        <w:t>7</w:t>
      </w:r>
      <w:r>
        <w:t>月底，全行实体贷款余额</w:t>
      </w:r>
      <w:r>
        <w:t>118.59</w:t>
      </w:r>
      <w:r>
        <w:t>亿元，较年初增加</w:t>
      </w:r>
      <w:r>
        <w:t>5.19</w:t>
      </w:r>
      <w:r>
        <w:t>亿元。</w:t>
      </w:r>
    </w:p>
    <w:p w:rsidR="009271C1" w:rsidRDefault="009271C1" w:rsidP="009271C1">
      <w:pPr>
        <w:ind w:firstLineChars="200" w:firstLine="420"/>
      </w:pPr>
      <w:r>
        <w:rPr>
          <w:rFonts w:hint="eastAsia"/>
        </w:rPr>
        <w:t>坚定不移践行支农支小定位。一是提升服务深度。创新支行基础工作“按月复盘”机制，基础网格、规范网格建成率达到</w:t>
      </w:r>
      <w:r>
        <w:t>100%</w:t>
      </w:r>
      <w:r>
        <w:t>，建成样板网格</w:t>
      </w:r>
      <w:r>
        <w:t>970</w:t>
      </w:r>
      <w:r>
        <w:t>个；深入开展</w:t>
      </w:r>
      <w:r>
        <w:t>“</w:t>
      </w:r>
      <w:r>
        <w:t>大调研、大走访、大营销</w:t>
      </w:r>
      <w:r>
        <w:t>”</w:t>
      </w:r>
      <w:r>
        <w:t>活动，推行</w:t>
      </w:r>
      <w:r>
        <w:t>“</w:t>
      </w:r>
      <w:r>
        <w:t>班子成员一周两天在基层</w:t>
      </w:r>
      <w:r>
        <w:t>”</w:t>
      </w:r>
      <w:r>
        <w:t>及</w:t>
      </w:r>
      <w:r>
        <w:t>“</w:t>
      </w:r>
      <w:r>
        <w:t>机关人员周五下村日</w:t>
      </w:r>
      <w:r>
        <w:t>”</w:t>
      </w:r>
      <w:r>
        <w:t>工作机制，形成全员深耕网格的工作合力。二是提升服务精度。以利率补贴、优惠为切入点，加大</w:t>
      </w:r>
      <w:r>
        <w:t>13</w:t>
      </w:r>
      <w:r>
        <w:t>款政策性信贷产品的营销力度，全行政策性贷款余额达到</w:t>
      </w:r>
      <w:r>
        <w:t>3</w:t>
      </w:r>
      <w:r>
        <w:t>亿元，其中，</w:t>
      </w:r>
      <w:r>
        <w:t>2</w:t>
      </w:r>
      <w:r>
        <w:t>个月时间发放昌信担保贷款</w:t>
      </w:r>
      <w:r>
        <w:t>118</w:t>
      </w:r>
      <w:r>
        <w:t>户、</w:t>
      </w:r>
      <w:r>
        <w:t>1.69</w:t>
      </w:r>
      <w:r>
        <w:t>亿元；压紧压实支行行长</w:t>
      </w:r>
      <w:r>
        <w:t>“</w:t>
      </w:r>
      <w:r>
        <w:t>首席客户经理</w:t>
      </w:r>
      <w:r>
        <w:t>”</w:t>
      </w:r>
      <w:r>
        <w:t>职责，支行行长自身营销贷款均超过</w:t>
      </w:r>
      <w:r>
        <w:t>800</w:t>
      </w:r>
      <w:r>
        <w:t>万元；</w:t>
      </w:r>
      <w:r>
        <w:rPr>
          <w:rFonts w:hint="eastAsia"/>
        </w:rPr>
        <w:t>大力推广线上贷款产品，全行</w:t>
      </w:r>
      <w:r>
        <w:t>30</w:t>
      </w:r>
      <w:r>
        <w:t>万元及以下贷款线上办贷占比达到</w:t>
      </w:r>
      <w:r>
        <w:t>83.93%</w:t>
      </w:r>
      <w:r>
        <w:t>。</w:t>
      </w:r>
    </w:p>
    <w:p w:rsidR="009271C1" w:rsidRDefault="009271C1" w:rsidP="009271C1">
      <w:pPr>
        <w:ind w:firstLineChars="200" w:firstLine="420"/>
      </w:pPr>
      <w:r>
        <w:rPr>
          <w:rFonts w:hint="eastAsia"/>
        </w:rPr>
        <w:t>坚定不移全面服务乡村振兴。一是进一步完善顶层设计。研究制定金融服务乡村振兴工作方案，定期研究“三农”金融服务工作情况，明确针对性工作措施；通过与县委组织部、县农业农村局开展党建共建，成功获得阳谷县“乡村振兴主办行”资格。二是倡导优秀者优惠。针对服务乡村振兴过程中涌现出的优秀农民、优秀新型主体，以优先授信、优惠利率为原则，逐村召开“双优贷”批量授信会，在激励优秀者更好更快发展的同时，示范带动其他人员积极投身全县乡村振兴建设，累计发放“双优贷”</w:t>
      </w:r>
      <w:r>
        <w:t>236</w:t>
      </w:r>
      <w:r>
        <w:t>户、</w:t>
      </w:r>
      <w:r>
        <w:t>6352</w:t>
      </w:r>
      <w:r>
        <w:t>万元。三是发挥</w:t>
      </w:r>
      <w:r>
        <w:t>“</w:t>
      </w:r>
      <w:r>
        <w:t>驻村金融第一书记</w:t>
      </w:r>
      <w:r>
        <w:t>”</w:t>
      </w:r>
      <w:r>
        <w:t>职能。选派</w:t>
      </w:r>
      <w:r>
        <w:t>30</w:t>
      </w:r>
      <w:r>
        <w:t>名</w:t>
      </w:r>
      <w:r>
        <w:rPr>
          <w:rFonts w:hint="eastAsia"/>
        </w:rPr>
        <w:t>优秀客户经理担任驻村金融第一书记，发挥“两个身份”的独特优势，借助“金融夜校”“驻点办公”等形式，开展“嵌入式”业务营销，做到全面服务、精准服务、创新服务。</w:t>
      </w:r>
    </w:p>
    <w:p w:rsidR="009271C1" w:rsidRDefault="009271C1" w:rsidP="009271C1">
      <w:pPr>
        <w:ind w:firstLineChars="200" w:firstLine="420"/>
      </w:pPr>
      <w:r>
        <w:rPr>
          <w:rFonts w:hint="eastAsia"/>
        </w:rPr>
        <w:t>深度融入黄河流域生态保护和高质量发展。一是深入支持水资源集约节约利用。建立辖内从事农业灌溉、供水、节水、排水等塑料管道生产客户的营销台账，累计授信</w:t>
      </w:r>
      <w:r>
        <w:t>38</w:t>
      </w:r>
      <w:r>
        <w:t>户，助力水资源节约利用；累计发放</w:t>
      </w:r>
      <w:r>
        <w:t>“</w:t>
      </w:r>
      <w:r>
        <w:t>洁水贷</w:t>
      </w:r>
      <w:r>
        <w:t>”34</w:t>
      </w:r>
      <w:r>
        <w:t>户、</w:t>
      </w:r>
      <w:r>
        <w:t>0.48</w:t>
      </w:r>
      <w:r>
        <w:t>亿元，助力环境生态保护。二是积极助推产业转型升级。大力支持村级集体经济发展，成功为</w:t>
      </w:r>
      <w:r>
        <w:t>775</w:t>
      </w:r>
      <w:r>
        <w:t>个党组织领办合作社中的</w:t>
      </w:r>
      <w:r>
        <w:t>1038</w:t>
      </w:r>
      <w:r>
        <w:t>名成员完成授信，授信覆盖面</w:t>
      </w:r>
      <w:r>
        <w:t>41.22%</w:t>
      </w:r>
      <w:r>
        <w:t>，同时成功发放辖内首笔党支部领办合作社贷款；积极融入新旧动能转换工程，累计发放贷款</w:t>
      </w:r>
      <w:r>
        <w:t>5.92</w:t>
      </w:r>
      <w:r>
        <w:t>亿元，助力产业结构优化转型。三是大力发展绿色金融。创新推广</w:t>
      </w:r>
      <w:r>
        <w:rPr>
          <w:rFonts w:hint="eastAsia"/>
        </w:rPr>
        <w:t>绿色金融产品，绿色金融贷款余额达到</w:t>
      </w:r>
      <w:r>
        <w:t>2.3</w:t>
      </w:r>
      <w:r>
        <w:t>亿元；累计为</w:t>
      </w:r>
      <w:r>
        <w:t>15</w:t>
      </w:r>
      <w:r>
        <w:t>家</w:t>
      </w:r>
      <w:r>
        <w:t>“</w:t>
      </w:r>
      <w:r>
        <w:t>专精特新</w:t>
      </w:r>
      <w:r>
        <w:t>”</w:t>
      </w:r>
      <w:r>
        <w:t>企业授信</w:t>
      </w:r>
      <w:r>
        <w:t>4.5</w:t>
      </w:r>
      <w:r>
        <w:t>亿元，助力企业发展壮大；累计发放</w:t>
      </w:r>
      <w:r>
        <w:t>“</w:t>
      </w:r>
      <w:r>
        <w:t>专利权质押贷款</w:t>
      </w:r>
      <w:r>
        <w:t>”3</w:t>
      </w:r>
      <w:r>
        <w:t>户、</w:t>
      </w:r>
      <w:r>
        <w:t>1.25</w:t>
      </w:r>
      <w:r>
        <w:t>亿元，助力企业便捷获贷。</w:t>
      </w:r>
    </w:p>
    <w:p w:rsidR="009271C1" w:rsidRDefault="009271C1" w:rsidP="0083634B">
      <w:pPr>
        <w:jc w:val="right"/>
      </w:pPr>
      <w:r w:rsidRPr="0083634B">
        <w:rPr>
          <w:rFonts w:hint="eastAsia"/>
        </w:rPr>
        <w:t>阳谷农商银行</w:t>
      </w:r>
      <w:r>
        <w:rPr>
          <w:rFonts w:hint="eastAsia"/>
        </w:rPr>
        <w:t>2023-9-13</w:t>
      </w:r>
    </w:p>
    <w:p w:rsidR="009271C1" w:rsidRDefault="009271C1" w:rsidP="00AB4C1E">
      <w:pPr>
        <w:sectPr w:rsidR="009271C1" w:rsidSect="00AB4C1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E7510" w:rsidRDefault="00EE7510"/>
    <w:sectPr w:rsidR="00EE75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71C1"/>
    <w:rsid w:val="009271C1"/>
    <w:rsid w:val="00EE75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71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271C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947</Characters>
  <Application>Microsoft Office Word</Application>
  <DocSecurity>0</DocSecurity>
  <Lines>7</Lines>
  <Paragraphs>2</Paragraphs>
  <ScaleCrop>false</ScaleCrop>
  <Company>微软中国</Company>
  <LinksUpToDate>false</LinksUpToDate>
  <CharactersWithSpaces>1110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2023-10-07T00:38:00Z</dcterms:created>
</cp:coreProperties>
</file>