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548C" w:rsidRDefault="00F6548C" w:rsidP="00D130D2">
      <w:pPr>
        <w:pStyle w:val="1"/>
      </w:pPr>
      <w:r w:rsidRPr="001954B8">
        <w:rPr>
          <w:rFonts w:hint="eastAsia"/>
        </w:rPr>
        <w:t>平川区检察院“三强化”开展类案监督，全面提升民事检察监督水平</w:t>
      </w:r>
    </w:p>
    <w:p w:rsidR="00F6548C" w:rsidRDefault="00F6548C" w:rsidP="00F6548C">
      <w:pPr>
        <w:ind w:firstLineChars="200" w:firstLine="420"/>
        <w:jc w:val="left"/>
      </w:pPr>
      <w:r>
        <w:rPr>
          <w:rFonts w:hint="eastAsia"/>
        </w:rPr>
        <w:t>近年来，平川区检察院认真贯彻落实《中共中央关于加强新时代检察机关法律监督工作的意见》，创新工作思路，转变工作方式，依法能动履职，推动民事检察从“个案监督”向“类案监督”延伸，促进监督质效稳步提升。</w:t>
      </w:r>
      <w:r>
        <w:t>2020</w:t>
      </w:r>
      <w:r>
        <w:t>以来，共发出涉及送达不规范、执行不规范等问题类案监督检察建议</w:t>
      </w:r>
      <w:r>
        <w:t>8</w:t>
      </w:r>
      <w:r>
        <w:t>份，涵盖个案数</w:t>
      </w:r>
      <w:r>
        <w:t>30</w:t>
      </w:r>
      <w:r>
        <w:t>多件。</w:t>
      </w:r>
    </w:p>
    <w:p w:rsidR="00F6548C" w:rsidRDefault="00F6548C" w:rsidP="00F6548C">
      <w:pPr>
        <w:ind w:firstLineChars="200" w:firstLine="420"/>
        <w:jc w:val="left"/>
      </w:pPr>
      <w:r>
        <w:rPr>
          <w:rFonts w:hint="eastAsia"/>
        </w:rPr>
        <w:t>一、转变监督理念，推动类案监督破题起势。一是树立精准监督理念。从“让人民群众有更多的获得感、幸福感、安全感”的目标出发，优化民事诉讼类案监督理念，做到精准监督办案，防止片面追求监督数量，确保类案监督工作纵深推进。二是不断突出类案监督重点。明确瑕疵问题与违法问题、轻微违法情形与严重违法情形的界限，对轻微违法情形通过“以案找案”的形式开展类案监督，对法院办理的执行活动监督案件进行系统分析，梳理了法院执行过程中未规范送达执行裁定书等问题，以此作为类案监督的重点。三是灵活运用诉讼监督方式。采取由案及人、由人及案的关联查询和典型违法情形系统查询的方法，对发现的典型违法情形，举一反三，从“等案上门”到“主动出击”，依照法定职责，对个案中超期送达文书这一典型违法情形进行系统查询，提出监督意见，督促审判机关整改，实现了案件线索的倍增效应。</w:t>
      </w:r>
    </w:p>
    <w:p w:rsidR="00F6548C" w:rsidRDefault="00F6548C" w:rsidP="00F6548C">
      <w:pPr>
        <w:ind w:firstLineChars="200" w:firstLine="420"/>
        <w:jc w:val="left"/>
      </w:pPr>
      <w:r>
        <w:rPr>
          <w:rFonts w:hint="eastAsia"/>
        </w:rPr>
        <w:t>二、强化能动履职，推动类案监督案源拓展。一是积极摸排案件线索。主动走访法院、律师事务所、法律援助中心，通过沟通交流，详细了解执行现状、执行难点以及群众执行需求，确定了监督方向和重点后，向法院调取了近年来终结本次执行程序案件卷宗</w:t>
      </w:r>
      <w:r>
        <w:t>56</w:t>
      </w:r>
      <w:r>
        <w:t>本，建立了工作台账，摸排案件线索</w:t>
      </w:r>
      <w:r>
        <w:t xml:space="preserve"> 6</w:t>
      </w:r>
      <w:r>
        <w:t>件，实现了案件线索排查全覆盖。二是强化内部协作配合。注重强化院内各业务条线之间</w:t>
      </w:r>
      <w:r>
        <w:t>“</w:t>
      </w:r>
      <w:r>
        <w:t>小分工、大合作</w:t>
      </w:r>
      <w:r>
        <w:t>”</w:t>
      </w:r>
      <w:r>
        <w:t>的职能协作理念，与刑事、控告申诉部门衔接配合，充分发挥</w:t>
      </w:r>
      <w:r>
        <w:t>12309</w:t>
      </w:r>
      <w:r>
        <w:t>检察服务中心等内部平台优势，对于涉及审判程序和执行活动类案监督线索的来信来访，及时移交</w:t>
      </w:r>
      <w:r>
        <w:rPr>
          <w:rFonts w:hint="eastAsia"/>
        </w:rPr>
        <w:t>民事检察部门审查处理，发现案件线索</w:t>
      </w:r>
      <w:r>
        <w:t>3</w:t>
      </w:r>
      <w:r>
        <w:t>件，实现了同向发力、同频共振。</w:t>
      </w:r>
    </w:p>
    <w:p w:rsidR="00F6548C" w:rsidRDefault="00F6548C" w:rsidP="00F6548C">
      <w:pPr>
        <w:ind w:firstLineChars="200" w:firstLine="420"/>
        <w:jc w:val="left"/>
      </w:pPr>
      <w:r>
        <w:rPr>
          <w:rFonts w:hint="eastAsia"/>
        </w:rPr>
        <w:t>三是注重类案线索发掘经营。聚焦借款合同、民间借贷、房产交易等突出领域，通过裁判文书网信息筛查，进行类案分析，梳理总结诉讼案件特点，发现漏洞或破绽，进行经营、管理，深挖类案线索</w:t>
      </w:r>
      <w:r>
        <w:t>2</w:t>
      </w:r>
      <w:r>
        <w:t>件。如，对白银某汽车服务有限公司返还原物纠纷审判程序违法监督案审查时，利用裁判文书网精细筛查发现了其它案件也存在送达不规范的情形，遂提出检察建议督促法院及时纠正错误，堵塞了工作漏洞。</w:t>
      </w:r>
    </w:p>
    <w:p w:rsidR="00F6548C" w:rsidRDefault="00F6548C" w:rsidP="00F6548C">
      <w:pPr>
        <w:ind w:firstLineChars="200" w:firstLine="420"/>
        <w:jc w:val="left"/>
      </w:pPr>
      <w:r>
        <w:rPr>
          <w:rFonts w:hint="eastAsia"/>
        </w:rPr>
        <w:t>三、强化靶向施策，推动类案监督成效推升。一是落实类案监督考核指标。按照省、市检察院制定的业务考核办法，转变类案监督办案思路，遇到疑难困惑及时与上级院沟通，发挥上下一体化办案优势，切实提升类案监督案件的办理质效。针对高检院“二号检察建议”中民事公告送达不规范问题积极请教上级部门，研究部署摸排案件线索方向。二是提升业务综合素能。坚持高标准拉动高素质，以“辅导</w:t>
      </w:r>
      <w:r>
        <w:t>+</w:t>
      </w:r>
      <w:r>
        <w:t>研讨</w:t>
      </w:r>
      <w:r>
        <w:t>”</w:t>
      </w:r>
      <w:r>
        <w:t>的方式，不定期组织干警开展业务研讨学习交流活动，强化专业训练，并积极参加业务培训和竞赛活动，促进干警理念更新、思维转变，不断提升综合素能。三是注重效</w:t>
      </w:r>
      <w:r>
        <w:rPr>
          <w:rFonts w:hint="eastAsia"/>
        </w:rPr>
        <w:t>果延伸。对类案监督发现的倾向性、普遍性问题，结合民生民利专项活动，强化精品思维、案例意识，办理、挖掘、培育典型案例，有效发挥典型案例对类案监督的示范引领作用，切实增强民事检察监督实效。</w:t>
      </w:r>
    </w:p>
    <w:p w:rsidR="00F6548C" w:rsidRDefault="00F6548C" w:rsidP="00F6548C">
      <w:pPr>
        <w:ind w:firstLineChars="200" w:firstLine="420"/>
        <w:jc w:val="right"/>
      </w:pPr>
      <w:r>
        <w:rPr>
          <w:rFonts w:hint="eastAsia"/>
        </w:rPr>
        <w:t>平川检察</w:t>
      </w:r>
      <w:r w:rsidRPr="001954B8">
        <w:t>2023-08-29</w:t>
      </w:r>
    </w:p>
    <w:p w:rsidR="00F6548C" w:rsidRDefault="00F6548C" w:rsidP="007A7075">
      <w:pPr>
        <w:sectPr w:rsidR="00F6548C" w:rsidSect="007A7075">
          <w:type w:val="continuous"/>
          <w:pgSz w:w="11906" w:h="16838"/>
          <w:pgMar w:top="1644" w:right="1236" w:bottom="1418" w:left="1814" w:header="851" w:footer="907" w:gutter="0"/>
          <w:pgNumType w:start="1"/>
          <w:cols w:space="720"/>
          <w:docGrid w:type="lines" w:linePitch="341" w:charSpace="2373"/>
        </w:sectPr>
      </w:pPr>
    </w:p>
    <w:p w:rsidR="00CB687F" w:rsidRDefault="00CB687F"/>
    <w:sectPr w:rsidR="00CB68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548C"/>
    <w:rsid w:val="00CB687F"/>
    <w:rsid w:val="00F654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548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6548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205</Words>
  <Characters>1175</Characters>
  <Application>Microsoft Office Word</Application>
  <DocSecurity>0</DocSecurity>
  <Lines>9</Lines>
  <Paragraphs>2</Paragraphs>
  <ScaleCrop>false</ScaleCrop>
  <Company>Microsoft</Company>
  <LinksUpToDate>false</LinksUpToDate>
  <CharactersWithSpaces>1378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2023-09-08T10:27:00Z</dcterms:created>
</cp:coreProperties>
</file>