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485A" w:rsidRDefault="00CF485A" w:rsidP="00A500C1">
      <w:pPr>
        <w:pStyle w:val="1"/>
      </w:pPr>
      <w:r w:rsidRPr="006432F7">
        <w:rPr>
          <w:rFonts w:hint="eastAsia"/>
        </w:rPr>
        <w:t>财政部福建监管局：“四个坚持”做好部门预算监管</w:t>
      </w:r>
      <w:r w:rsidRPr="006432F7">
        <w:t xml:space="preserve"> 立体推进财会监督落地见效</w:t>
      </w:r>
    </w:p>
    <w:p w:rsidR="00CF485A" w:rsidRDefault="00CF485A" w:rsidP="00CF485A">
      <w:pPr>
        <w:ind w:firstLineChars="200" w:firstLine="420"/>
        <w:jc w:val="left"/>
      </w:pPr>
      <w:r>
        <w:rPr>
          <w:rFonts w:hint="eastAsia"/>
        </w:rPr>
        <w:t>中共中央办公厅、国务院办公厅印发《关于进一步加强财会监督工作的意见》（以下简称《意见》），对新时代建立健全财会监督体系、完善工作机制等方面作出了顶层设计，为推进新时代财会监督工作高质量发展指明了前进方向、提供了根本遵循。福建监管局认真学习领会《意见》精神，按照财政部党组决策部署，紧密结合工作实际，聚焦部门预算监管等重点工作领域，立足法定职责，以“四个坚持”立体推进财会监督落地见效。</w:t>
      </w:r>
    </w:p>
    <w:p w:rsidR="00CF485A" w:rsidRDefault="00CF485A" w:rsidP="00CF485A">
      <w:pPr>
        <w:ind w:firstLineChars="200" w:firstLine="420"/>
        <w:jc w:val="left"/>
      </w:pPr>
      <w:r>
        <w:rPr>
          <w:rFonts w:hint="eastAsia"/>
        </w:rPr>
        <w:t>一、坚持政治引领，严把财会监督“站位关”</w:t>
      </w:r>
    </w:p>
    <w:p w:rsidR="00CF485A" w:rsidRDefault="00CF485A" w:rsidP="00CF485A">
      <w:pPr>
        <w:ind w:firstLineChars="200" w:firstLine="420"/>
        <w:jc w:val="left"/>
      </w:pPr>
      <w:r>
        <w:rPr>
          <w:rFonts w:hint="eastAsia"/>
        </w:rPr>
        <w:t>一是高度重视，提高政治站位。全国财会监督工作会议召开后，福建监管局深刻认识开展好财会监督工作对强化财经纪律刚性约束、确保财政平稳运行、推动经济社会高质量发展的重要意义。局党组第一时间召开会议专题研究贯彻落实《意见》，传达学习习近平总书记关于财会监督的重要论述精神以及刘昆部长在全国财会监督工作会议上的动员部署讲话要求，组织全局干部职工认真研读、深刻领会，强调要准确把握《意见》的核心要义和总体要求，要坚持以政领财，切实提高政治站位，以更高的政治自觉领会财会监督的重要意义、以更强的担当意识推动财会监督落地生效、以更有力的机制建设促进财会监督发挥维护财经纪律作用。</w:t>
      </w:r>
    </w:p>
    <w:p w:rsidR="00CF485A" w:rsidRDefault="00CF485A" w:rsidP="00CF485A">
      <w:pPr>
        <w:ind w:firstLineChars="200" w:firstLine="420"/>
        <w:jc w:val="left"/>
      </w:pPr>
      <w:r>
        <w:rPr>
          <w:rFonts w:hint="eastAsia"/>
        </w:rPr>
        <w:t>二是强化组织引领，压实工作责任。局党组第一时间成立领导小组并多次召开会议专题部署，研究部署进一步加强财会监督工作，做好财会监督、预算执行监督专项行动等重要事项，强化统筹指导，推动协作配合。</w:t>
      </w:r>
    </w:p>
    <w:p w:rsidR="00CF485A" w:rsidRDefault="00CF485A" w:rsidP="00CF485A">
      <w:pPr>
        <w:ind w:firstLineChars="200" w:firstLine="420"/>
        <w:jc w:val="left"/>
      </w:pPr>
      <w:r>
        <w:rPr>
          <w:rFonts w:hint="eastAsia"/>
        </w:rPr>
        <w:t>三是召开会议，突出宣传部署。召开部门预算监管工作会议，邀请</w:t>
      </w:r>
      <w:r>
        <w:t>50</w:t>
      </w:r>
      <w:r>
        <w:t>余家驻闽中央预算单位负责人及财务处长参会，局领导宣讲《意见》精神，提出下一阶段福建监管局部门预算监管工作重点及相关要求，要求各单位要深刻领会进一步加强财会监督工作的重要意义，继续提高对严肃财经纪律的清晰认识，履行好财会监督的主体责任和监督责任。</w:t>
      </w:r>
    </w:p>
    <w:p w:rsidR="00CF485A" w:rsidRDefault="00CF485A" w:rsidP="00CF485A">
      <w:pPr>
        <w:ind w:firstLineChars="200" w:firstLine="420"/>
        <w:jc w:val="left"/>
      </w:pPr>
      <w:r>
        <w:rPr>
          <w:rFonts w:hint="eastAsia"/>
        </w:rPr>
        <w:t>二、坚持夯实基础，筑牢内部控制“强地基”</w:t>
      </w:r>
    </w:p>
    <w:p w:rsidR="00CF485A" w:rsidRDefault="00CF485A" w:rsidP="00CF485A">
      <w:pPr>
        <w:ind w:firstLineChars="200" w:firstLine="420"/>
        <w:jc w:val="left"/>
      </w:pPr>
      <w:r>
        <w:rPr>
          <w:rFonts w:hint="eastAsia"/>
        </w:rPr>
        <w:t>一是评估分析内部控制建设运行情况。为充分发挥内控在加强权力制衡、防范业务和廉政风险等方面的重要作用，福建监管局探索将内控报告质量抽查评估和内控制度执行分析融合的监管模式，选取</w:t>
      </w:r>
      <w:r>
        <w:t>17</w:t>
      </w:r>
      <w:r>
        <w:t>家具有代表性预算单位开展重点审核，评估内控报告质量并关注内控体系完善、制度执行等情况，针对存在的问题及薄弱环节，提出相关对策建议。推动各单位对照整改，对高风险、新风险事项抓小抓早，夯实内部管理基础。</w:t>
      </w:r>
    </w:p>
    <w:p w:rsidR="00CF485A" w:rsidRDefault="00CF485A" w:rsidP="00CF485A">
      <w:pPr>
        <w:ind w:firstLineChars="200" w:firstLine="420"/>
        <w:jc w:val="left"/>
      </w:pPr>
      <w:r>
        <w:rPr>
          <w:rFonts w:hint="eastAsia"/>
        </w:rPr>
        <w:t>二是压实各单位内部财会监督主体责任。督促驻闽中央预算单位进一步落实主体责任，加强内控管理，确保牢牢守住“第一道防线”，及时校准纠偏，从预算编制、预算执行、资金管理等方面，持续强化预算管理和会计行为的监督。系统单位，要加强对辖区内下属单位预算执行情况的监督，持续提升预算管理水平，要进一步加强对下属单位财经纪律执行情况的监督检查力度，对于发现的违规发放津贴补贴、违规划转财政资金、无预算超预算支出等行为，要第一时间严肃处理和整改，让财经纪律成为不可触碰的“高压线”。</w:t>
      </w:r>
    </w:p>
    <w:p w:rsidR="00CF485A" w:rsidRDefault="00CF485A" w:rsidP="00CF485A">
      <w:pPr>
        <w:ind w:firstLineChars="200" w:firstLine="420"/>
        <w:jc w:val="left"/>
      </w:pPr>
      <w:r>
        <w:rPr>
          <w:rFonts w:hint="eastAsia"/>
        </w:rPr>
        <w:t>三、坚持问题导向，多措并举打造“稳框架”</w:t>
      </w:r>
    </w:p>
    <w:p w:rsidR="00CF485A" w:rsidRDefault="00CF485A" w:rsidP="00CF485A">
      <w:pPr>
        <w:ind w:firstLineChars="200" w:firstLine="420"/>
        <w:jc w:val="left"/>
      </w:pPr>
      <w:r>
        <w:rPr>
          <w:rFonts w:hint="eastAsia"/>
        </w:rPr>
        <w:t>一是围绕中心工作，确保“规定动作”做到位。中央部门重点项目预算执行监督是财政部预算执行监督专项行动的重要内容，福建监管局对标对表精心谋划、落实落细全年预算执行监督专项行动工作。首先，提前摸底，建立数据库。对照财政部下发的中央部门重点监督项目清单，逐一联系相关驻闽中央预算单位，了解各单位重点监督项目涉及情况，形成福建监管局重点监督项目清单，并结合具体实际制定监督工作实施方案，明确日常监管和重点项目监督相结合、线上监控和现场核查相结合的总体方向。收集相关单位近两年决算报表、科目明细账，并依托国库集中支付系统历史数据，通过对重点项目近年收支情况进行摸底，形成相关数据库，为专项行动扎实有序推进打下坚实基础。其次，夯实基础，强化分析运用。向相关单位收集</w:t>
      </w:r>
      <w:r>
        <w:t>2023</w:t>
      </w:r>
      <w:r>
        <w:t>年重点监督项目的预算批复、项目文本、支出标准、绩效评价指标、协议合同等基础资料，认真研究相关项目中央部门经费管理办法及属地单位细化规则等，形成项目台账，全面掌握项目基本情况。再者，积极作为，有序开展监督。按月收集各单位重点监督项目执行情况，结合日常监管工作，线上线下相结合开展监控工作，在关注管理规范、科目核算等基础问题基础上，重点关注是否存在违反财经纪律和各项管理</w:t>
      </w:r>
      <w:r>
        <w:rPr>
          <w:rFonts w:hint="eastAsia"/>
        </w:rPr>
        <w:t>规定使用资金的现象。同时，结合其他专项工作，选取税务、移民管理局、广电总局等属地单位开展实地督导，了解各内部系统财会监督自查工作，并着重了解重点项目预算执行存在问题并提出规范管理建议，确保重点项目预算执行监督有序推进，更好地发挥预算执行监控规范、纠偏、警示、威慑作用。</w:t>
      </w:r>
    </w:p>
    <w:p w:rsidR="00CF485A" w:rsidRDefault="00CF485A" w:rsidP="00CF485A">
      <w:pPr>
        <w:ind w:firstLineChars="200" w:firstLine="420"/>
        <w:jc w:val="left"/>
      </w:pPr>
      <w:r>
        <w:rPr>
          <w:rFonts w:hint="eastAsia"/>
        </w:rPr>
        <w:t>二是创新工作形式，谋求“自选动作”有特色。福建监管局紧扣监管职能定位，立足中央重大财税政策落实情况和福建省情实际，围绕《意见》前瞻性开展政策研究。积极探索部门预算财会监督新模式，重点挖掘和分析问题产生的深层次根源，指导预算单位堵塞制度和管理漏洞，帮助预算单位“防未病”。针对发现典型突出问题，局领导与相关单位主要负责同志当面交流反馈，并出具《监管意见》，提出整改建议，督促即查即改、立行立改。在《意见》出台后，福建监管局迅速组织对全省</w:t>
      </w:r>
      <w:r>
        <w:t>518</w:t>
      </w:r>
      <w:r>
        <w:t>家驻闽中央预算单位开展调研，实地走访税务、人行、金融监管等系统单位，充分</w:t>
      </w:r>
      <w:r>
        <w:rPr>
          <w:rFonts w:hint="eastAsia"/>
        </w:rPr>
        <w:t>了解各单位内部财会监督体系构建与运行现状，全方位发现问题，深层次剖析原因，多角度提出对策，致力于强化监督力度，力求“自选动作”具有前瞻性、能出彩。</w:t>
      </w:r>
    </w:p>
    <w:p w:rsidR="00CF485A" w:rsidRDefault="00CF485A" w:rsidP="00CF485A">
      <w:pPr>
        <w:ind w:firstLineChars="200" w:firstLine="420"/>
        <w:jc w:val="left"/>
      </w:pPr>
      <w:r>
        <w:rPr>
          <w:rFonts w:hint="eastAsia"/>
        </w:rPr>
        <w:t>四、坚持监管服务两手抓，形成业务共赢“共同体”</w:t>
      </w:r>
    </w:p>
    <w:p w:rsidR="00CF485A" w:rsidRDefault="00CF485A" w:rsidP="00CF485A">
      <w:pPr>
        <w:ind w:firstLineChars="200" w:firstLine="420"/>
        <w:jc w:val="left"/>
      </w:pPr>
      <w:r>
        <w:rPr>
          <w:rFonts w:hint="eastAsia"/>
        </w:rPr>
        <w:t>一是完善制度，提升成果运用水平。逐步建立定期提示通报制度，将我局预决算编制、执行监控、内控管理等各项工作中发现的典型问题，在一定范围内予以通报，及时提醒、及时纠偏。同时对预算管理中比较好的经验做法予以分享。</w:t>
      </w:r>
    </w:p>
    <w:p w:rsidR="00CF485A" w:rsidRDefault="00CF485A" w:rsidP="00CF485A">
      <w:pPr>
        <w:ind w:firstLineChars="200" w:firstLine="420"/>
        <w:jc w:val="left"/>
      </w:pPr>
      <w:r>
        <w:rPr>
          <w:rFonts w:hint="eastAsia"/>
        </w:rPr>
        <w:t>二是梳理归纳，打造财会监督案例库。整理近年来财政部通报及局部门预算监管发现的典型事例和问题形成案例库，重点围绕问题类型、基本概况、违反规定、处理建议等</w:t>
      </w:r>
      <w:r>
        <w:t>4</w:t>
      </w:r>
      <w:r>
        <w:t>个方面，按类别归纳总结了预算编制、财务管理、资产管理、三公经费、会计基础规范等</w:t>
      </w:r>
      <w:r>
        <w:t>7</w:t>
      </w:r>
      <w:r>
        <w:t>方面常见问题，编入财会监督案例库，便于为日常监管和专项工作提供借鉴参考，提升工作效率。</w:t>
      </w:r>
    </w:p>
    <w:p w:rsidR="00CF485A" w:rsidRDefault="00CF485A" w:rsidP="00CF485A">
      <w:pPr>
        <w:ind w:firstLineChars="200" w:firstLine="420"/>
        <w:jc w:val="left"/>
      </w:pPr>
      <w:r>
        <w:rPr>
          <w:rFonts w:hint="eastAsia"/>
        </w:rPr>
        <w:t>三是主动宣贯，推动各方业务交流。积极派出局业务骨干前往福州海关、福建省税务局、国家统计局福建调查总队等预算单位上门授课宣讲，把有关制度解释清楚，把财经纪律宣传到位，协助驻闽中央预算单位财务人员提升业务水平。同时结合日常监管工作，收集驻闽中央预算单位日常在预算编制、预算执行、单位核算等模块中遇到的主要痛点和客户端系统改进需求，并进行反馈沟通。</w:t>
      </w:r>
    </w:p>
    <w:p w:rsidR="00CF485A" w:rsidRPr="006432F7" w:rsidRDefault="00CF485A" w:rsidP="00CF485A">
      <w:pPr>
        <w:ind w:firstLineChars="200" w:firstLine="420"/>
        <w:jc w:val="left"/>
      </w:pPr>
      <w:r>
        <w:rPr>
          <w:rFonts w:hint="eastAsia"/>
        </w:rPr>
        <w:t>四是构建人才库，实现业以才兴。充分利用预算单位人才资源，建立驻闽中央预算单位部门预算监管人才库，将具有较为丰富的部门预算管理实践经验的人员纳入人才库，根据不同人才业务优势，在对应专项工作中邀请参加，盘活人才存量，激发育才活力。在为部门预算监管提供有力专业支撑的同时，也为各单位财务人员搭建沟通交流的平台，助力各方业务水平扬长补短，提升驻闽中央预算单位凝聚力。</w:t>
      </w:r>
    </w:p>
    <w:p w:rsidR="00CF485A" w:rsidRPr="006432F7" w:rsidRDefault="00CF485A" w:rsidP="00CF485A">
      <w:pPr>
        <w:ind w:firstLineChars="200" w:firstLine="420"/>
        <w:jc w:val="right"/>
      </w:pPr>
      <w:r w:rsidRPr="006432F7">
        <w:rPr>
          <w:rFonts w:hint="eastAsia"/>
        </w:rPr>
        <w:t>财政部</w:t>
      </w:r>
      <w:r w:rsidRPr="006432F7">
        <w:t>2023-08-28</w:t>
      </w:r>
    </w:p>
    <w:p w:rsidR="00CF485A" w:rsidRDefault="00CF485A" w:rsidP="0070107E">
      <w:pPr>
        <w:sectPr w:rsidR="00CF485A" w:rsidSect="0070107E">
          <w:type w:val="continuous"/>
          <w:pgSz w:w="11906" w:h="16838"/>
          <w:pgMar w:top="1644" w:right="1236" w:bottom="1418" w:left="1814" w:header="851" w:footer="907" w:gutter="0"/>
          <w:pgNumType w:start="1"/>
          <w:cols w:space="720"/>
          <w:docGrid w:type="lines" w:linePitch="341" w:charSpace="2373"/>
        </w:sectPr>
      </w:pPr>
    </w:p>
    <w:p w:rsidR="00BD47E5" w:rsidRDefault="00BD47E5"/>
    <w:sectPr w:rsidR="00BD47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485A"/>
    <w:rsid w:val="00BD47E5"/>
    <w:rsid w:val="00CF48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48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F48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429</Words>
  <Characters>2450</Characters>
  <Application>Microsoft Office Word</Application>
  <DocSecurity>0</DocSecurity>
  <Lines>20</Lines>
  <Paragraphs>5</Paragraphs>
  <ScaleCrop>false</ScaleCrop>
  <Company>Microsoft</Company>
  <LinksUpToDate>false</LinksUpToDate>
  <CharactersWithSpaces>2874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2023-08-31T06:24:00Z</dcterms:created>
</cp:coreProperties>
</file>