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1C90" w:rsidRDefault="00A11C90" w:rsidP="00A500C1">
      <w:pPr>
        <w:pStyle w:val="1"/>
      </w:pPr>
      <w:r w:rsidRPr="00646362">
        <w:rPr>
          <w:rFonts w:hint="eastAsia"/>
        </w:rPr>
        <w:t>江西吉安“五严五强”扎实推进预算绩效管理工作</w:t>
      </w:r>
    </w:p>
    <w:p w:rsidR="00A11C90" w:rsidRDefault="00A11C90" w:rsidP="00A11C90">
      <w:pPr>
        <w:ind w:firstLineChars="200" w:firstLine="420"/>
        <w:jc w:val="left"/>
      </w:pPr>
      <w:r>
        <w:rPr>
          <w:rFonts w:hint="eastAsia"/>
        </w:rPr>
        <w:t>近年来，江西省吉安市万安县财政局深入贯彻落实中共中央、国务院《关于全面实施预算绩效管理的意见》，创新预算绩效管理方式，更加注重结果导向、强调成本效益、硬化责任约束，推动全面建成具有万安特色的“全方位、全过程、全覆盖”及“有评估、有目标、有监控、有评价、有应用”的预算绩效管理体系，实现预算和绩效管理一体化，促进财政管理向绩效引领型转变，推动财政资金聚力增效，进一步提升全县预算绩效管理质量和水平。据悉，在全省高标准农田建设绩效评价中，万安县荣获</w:t>
      </w:r>
      <w:r>
        <w:t>2021</w:t>
      </w:r>
      <w:r>
        <w:t>年度二等奖，获得奖励补助资金</w:t>
      </w:r>
      <w:r>
        <w:t>1250</w:t>
      </w:r>
      <w:r>
        <w:t>万元，为实现万安高质量跨</w:t>
      </w:r>
      <w:r>
        <w:rPr>
          <w:rFonts w:hint="eastAsia"/>
        </w:rPr>
        <w:t>越式发展提供更加坚强的财政保障。</w:t>
      </w:r>
    </w:p>
    <w:p w:rsidR="00A11C90" w:rsidRDefault="00A11C90" w:rsidP="00A11C90">
      <w:pPr>
        <w:ind w:firstLineChars="200" w:firstLine="420"/>
        <w:jc w:val="left"/>
      </w:pPr>
      <w:r>
        <w:rPr>
          <w:rFonts w:hint="eastAsia"/>
        </w:rPr>
        <w:t>严格“评估”管理</w:t>
      </w:r>
      <w:r>
        <w:t>,</w:t>
      </w:r>
      <w:r>
        <w:t>增强决策科学性。该县财政局印发了《万安县县级财政支出事前绩效评估管理暂行办法》，</w:t>
      </w:r>
      <w:r>
        <w:t>2023</w:t>
      </w:r>
      <w:r>
        <w:t>年</w:t>
      </w:r>
      <w:r>
        <w:t>1</w:t>
      </w:r>
      <w:r>
        <w:t>月</w:t>
      </w:r>
      <w:r>
        <w:t>1</w:t>
      </w:r>
      <w:r>
        <w:t>日开始对符合事前绩效评估条件的项目扎实开展事前绩效评估，按照不同项目类型将评估程序分为简易评估程序和严格评估程序，对</w:t>
      </w:r>
      <w:r>
        <w:t>“</w:t>
      </w:r>
      <w:r>
        <w:t>三保</w:t>
      </w:r>
      <w:r>
        <w:t>”</w:t>
      </w:r>
      <w:r>
        <w:t>类项目实行简易评估程序，对工程类项目实行严格评估程序。截至目前，已完成</w:t>
      </w:r>
      <w:r>
        <w:t>49</w:t>
      </w:r>
      <w:r>
        <w:t>个项目的事前绩效评估工作，并探索对</w:t>
      </w:r>
      <w:r>
        <w:t>16</w:t>
      </w:r>
      <w:r>
        <w:t>个政府债券项目开展了严格评估程序事前绩效评估。该局主要负责同志高度重视，作示范勇争先。今年元旦刚过，该局党组书记、局长亲自带领评估组对城市生活垃圾卫生填埋场渗沥液</w:t>
      </w:r>
      <w:r>
        <w:rPr>
          <w:rFonts w:hint="eastAsia"/>
        </w:rPr>
        <w:t>处理项目开展事前绩效评估，评估组重点论证立项必要性、投入经济性、绩效目标合理性、实施方案可行性及筹资合规性，对项目资料进行严格审核，将评估结果作为预算安排的重要依据。评估组提出了通过优化工艺流程节约资金的思路，优化工艺后预计可以节省财政投入资金近百万元。并提出了利用垃圾填埋形成的腐熟土营造生态林的思路，利用腾出的场容存放建筑垃圾，综合利用后预计可以为财政节省近千万元的资金投入。事前绩效评估实现绩效管理关口前移，从源头上把好财政资金使用效益关，从而进一步优化该县财政资金配置。</w:t>
      </w:r>
    </w:p>
    <w:p w:rsidR="00A11C90" w:rsidRDefault="00A11C90" w:rsidP="00A11C90">
      <w:pPr>
        <w:ind w:firstLineChars="200" w:firstLine="420"/>
        <w:jc w:val="left"/>
      </w:pPr>
      <w:r>
        <w:rPr>
          <w:rFonts w:hint="eastAsia"/>
        </w:rPr>
        <w:t>严把“目标”编审，增强预算安排精准性。该县财政局按照随申报随审核原则，对所有入库项目进行严格审核，要求单位严格按照上级文件要求或项目规划编制绩效目标，对不符合要求的项目一律退回，督促单位按照要求及时修改报送。为提升单位绩效目标编报质量，该局多次组织部门单位业务人员绩效管理工作培训，培训人次</w:t>
      </w:r>
      <w:r>
        <w:t>156</w:t>
      </w:r>
      <w:r>
        <w:t>人。针对绩效管理工作薄弱的卫健系统、教体系统所属二级预算单位开展专场培训，采用理论讲解和入库项目示例分析相结合的方式，重点讲解绩效目标编制方法以及编制过程中容易出现的错误，提升单位财务人员绩效目标编制水平。该局组织精</w:t>
      </w:r>
      <w:r>
        <w:rPr>
          <w:rFonts w:hint="eastAsia"/>
        </w:rPr>
        <w:t>干力量编写了《万安县绩效目标编报指南》，印成小册子，方便各单位财务人员学习查阅。</w:t>
      </w:r>
    </w:p>
    <w:p w:rsidR="00A11C90" w:rsidRDefault="00A11C90" w:rsidP="00A11C90">
      <w:pPr>
        <w:ind w:firstLineChars="200" w:firstLine="420"/>
        <w:jc w:val="left"/>
      </w:pPr>
      <w:r>
        <w:rPr>
          <w:rFonts w:hint="eastAsia"/>
        </w:rPr>
        <w:t>严把绩效监控关，增强预算约束力。绩效运行监控是连接绩效目标和绩效评价的关键环节。按照自行监控与重点监控的方式组织该县部门单位对绩效目标实现程度和预算执行情况实行“双监控”，发现问题及时纠正，确保绩效目标如期保质保量实现。该局及时下发相关文件、组织各预算部门单位对本年度</w:t>
      </w:r>
      <w:r>
        <w:t>1-6</w:t>
      </w:r>
      <w:r>
        <w:t>月部门整体预算、所有项目支出和管理的转移支付资金开展预算执行情况与绩效目标实现程度</w:t>
      </w:r>
      <w:r>
        <w:t>“</w:t>
      </w:r>
      <w:r>
        <w:t>双监控</w:t>
      </w:r>
      <w:r>
        <w:t>”</w:t>
      </w:r>
      <w:r>
        <w:t>，在预算一体化系统内填报监控情况。对填报不完整、填报不规范、填报逻辑不通等问题的监控表、监控报告均予以退回，督促单位及时修改重新报送，截至</w:t>
      </w:r>
      <w:r>
        <w:t>7</w:t>
      </w:r>
      <w:r>
        <w:t>月底，</w:t>
      </w:r>
      <w:r>
        <w:rPr>
          <w:rFonts w:hint="eastAsia"/>
        </w:rPr>
        <w:t>今年第一次监控共计完成</w:t>
      </w:r>
      <w:r>
        <w:t>863</w:t>
      </w:r>
      <w:r>
        <w:t>个项目、</w:t>
      </w:r>
      <w:r>
        <w:t>71</w:t>
      </w:r>
      <w:r>
        <w:t>个部门的绩效运行监控，</w:t>
      </w:r>
      <w:r>
        <w:t>71</w:t>
      </w:r>
      <w:r>
        <w:t>份部门监控报告。同时，该局选择</w:t>
      </w:r>
      <w:r>
        <w:t xml:space="preserve"> 10</w:t>
      </w:r>
      <w:r>
        <w:t>个部门开展重点绩效监控，并创新工作方法，把直达资金监管与绩效运行监控融合到一起，形成该局独特的</w:t>
      </w:r>
      <w:r>
        <w:t>“</w:t>
      </w:r>
      <w:r>
        <w:t>双控</w:t>
      </w:r>
      <w:r>
        <w:t>”</w:t>
      </w:r>
      <w:r>
        <w:t>工作法，用于分析评判直达资金预算执行率和绩效目标实现情况，指导预算单位及时纠偏纠错以及调整处置，进一步健全了以部门整体监控为基础、紧盯重点项目的绩效监控体系。</w:t>
      </w:r>
    </w:p>
    <w:p w:rsidR="00A11C90" w:rsidRDefault="00A11C90" w:rsidP="00A11C90">
      <w:pPr>
        <w:ind w:firstLineChars="200" w:firstLine="420"/>
        <w:jc w:val="left"/>
      </w:pPr>
      <w:r>
        <w:rPr>
          <w:rFonts w:hint="eastAsia"/>
        </w:rPr>
        <w:t>严抓重点绩效评价，增强评价工作质效。该局建立“预算部门</w:t>
      </w:r>
      <w:r>
        <w:t>+</w:t>
      </w:r>
      <w:r>
        <w:t>财政部门</w:t>
      </w:r>
      <w:r>
        <w:t>+</w:t>
      </w:r>
      <w:r>
        <w:t>第三方机构</w:t>
      </w:r>
      <w:r>
        <w:t>”</w:t>
      </w:r>
      <w:r>
        <w:t>的绩效评价机制，对预算执行情况开展绩效评价。评价分为单位自评、部门评价及财政重点绩效评价三个层面。由主管部门负责组织部门本级和所属单位对年度部门预算项目开展绩效自评，主管部门在单位自评的基础上，结合工作实际，通过优先选取重点项目、随机选取一般性项目，遵循分年度分重点滚动安排等方式，至少选择一个项目开展部门评价。在部门自评的基础上该局抽取了</w:t>
      </w:r>
      <w:r>
        <w:t>10</w:t>
      </w:r>
      <w:r>
        <w:t>个部门整体绩效自评和</w:t>
      </w:r>
      <w:r>
        <w:t>20</w:t>
      </w:r>
      <w:r>
        <w:t>个项目绩效自评进行抽查复核，主要复核绩效目标与绩效指标设置情况、项</w:t>
      </w:r>
      <w:r>
        <w:rPr>
          <w:rFonts w:hint="eastAsia"/>
        </w:rPr>
        <w:t>目完成情况、自评报告的撰写情况、年初预算数、实际执行数与部门决算数是否一致。在部门评价的基础上该局抽取了</w:t>
      </w:r>
      <w:r>
        <w:t>10</w:t>
      </w:r>
      <w:r>
        <w:t>个部门整体绩效、</w:t>
      </w:r>
      <w:r>
        <w:t>20</w:t>
      </w:r>
      <w:r>
        <w:t>个项目进行财政重点绩效评价，财政重点绩效评价范围在涵盖</w:t>
      </w:r>
      <w:r>
        <w:t>“</w:t>
      </w:r>
      <w:r>
        <w:t>四本预算</w:t>
      </w:r>
      <w:r>
        <w:t>”</w:t>
      </w:r>
      <w:r>
        <w:t>的基础上，进一步向政府收入、政府采购、政府购买服务、</w:t>
      </w:r>
      <w:r>
        <w:t>PPP</w:t>
      </w:r>
      <w:r>
        <w:t>、专项债券等领域扩大范围，委托第三方专业机构组成绩效评价组，分派两组开展绩效评价工作，深入单位调查取证，通过实地走访、查阅资料等方式收集项目评价所需资料，确保绩效评价所获资料客观真实，形成客观公正再评价报告。并将绩效评价结果作为下一年度预算资金安排、政策调整、</w:t>
      </w:r>
      <w:r>
        <w:rPr>
          <w:rFonts w:hint="eastAsia"/>
        </w:rPr>
        <w:t>改进管理、专项资金分配的重要依据。通过多层次全方位开展绩效评价，强化了资金使用部门支出责任和绩效意识、进一步规范了绩效目标的设置及加快项目完成进度、提高了财务人员依法依规使用项目资金的意识、大力削减低效无效支出、优化财政支出结构，提高财政资金使用效益。</w:t>
      </w:r>
    </w:p>
    <w:p w:rsidR="00A11C90" w:rsidRPr="00646362" w:rsidRDefault="00A11C90" w:rsidP="00A11C90">
      <w:pPr>
        <w:ind w:firstLineChars="200" w:firstLine="420"/>
        <w:jc w:val="left"/>
      </w:pPr>
      <w:r>
        <w:rPr>
          <w:rFonts w:hint="eastAsia"/>
        </w:rPr>
        <w:t>严格“结果”应用，增强预算管理约束力。该局坚持“花钱必问效、无效必问责”原则，落实预算安排与绩效评价挂钩机制，强化绩效结果应用。对在上一年度财政重点绩效评价（再评价）中，部门整体绩效评价得分低于</w:t>
      </w:r>
      <w:r>
        <w:t xml:space="preserve"> 70</w:t>
      </w:r>
      <w:r>
        <w:t>分的，在编制下一年度预算时扣减该部门</w:t>
      </w:r>
      <w:r>
        <w:t xml:space="preserve"> 5%</w:t>
      </w:r>
      <w:r>
        <w:t>的公用经费；对绩效评价等级为</w:t>
      </w:r>
      <w:r>
        <w:t>“</w:t>
      </w:r>
      <w:r>
        <w:t>中</w:t>
      </w:r>
      <w:r>
        <w:t>”</w:t>
      </w:r>
      <w:r>
        <w:t>的项目，下年度从严从紧安排预算；绩效评价等级为</w:t>
      </w:r>
      <w:r>
        <w:t>“</w:t>
      </w:r>
      <w:r>
        <w:t>差</w:t>
      </w:r>
      <w:r>
        <w:t>”</w:t>
      </w:r>
      <w:r>
        <w:t>的项目，调减或撤销项目预算</w:t>
      </w:r>
      <w:r>
        <w:t>,</w:t>
      </w:r>
      <w:r>
        <w:t>并在全县通报。</w:t>
      </w:r>
      <w:r>
        <w:t>2023</w:t>
      </w:r>
      <w:r>
        <w:t>年</w:t>
      </w:r>
      <w:r>
        <w:t>4</w:t>
      </w:r>
      <w:r>
        <w:t>月份该局组织对</w:t>
      </w:r>
      <w:r>
        <w:t>2020-2022</w:t>
      </w:r>
      <w:r>
        <w:t>年教育城域网建设及运维服务项目开展财政重点绩效评价，根据评价结果，在安排下一周期教育城域网建设及运</w:t>
      </w:r>
      <w:r>
        <w:rPr>
          <w:rFonts w:hint="eastAsia"/>
        </w:rPr>
        <w:t>维服务经费时，削减了该项目中的低效服务项目预算</w:t>
      </w:r>
      <w:r>
        <w:t>80</w:t>
      </w:r>
      <w:r>
        <w:t>多万元，并责成教体局对该项目存在的其他绩效问题进行督促整改。</w:t>
      </w:r>
      <w:r>
        <w:t>(</w:t>
      </w:r>
      <w:r>
        <w:t>江西省吉安市万安县财政局绩效评价股</w:t>
      </w:r>
      <w:r>
        <w:t xml:space="preserve"> </w:t>
      </w:r>
      <w:r>
        <w:t>供稿</w:t>
      </w:r>
      <w:r>
        <w:t>)</w:t>
      </w:r>
    </w:p>
    <w:p w:rsidR="00A11C90" w:rsidRDefault="00A11C90" w:rsidP="00A11C90">
      <w:pPr>
        <w:ind w:firstLineChars="200" w:firstLine="420"/>
        <w:jc w:val="right"/>
      </w:pPr>
      <w:r w:rsidRPr="00646362">
        <w:rPr>
          <w:rFonts w:hint="eastAsia"/>
        </w:rPr>
        <w:t>中国网</w:t>
      </w:r>
      <w:r>
        <w:rPr>
          <w:rFonts w:hint="eastAsia"/>
        </w:rPr>
        <w:t>2023-08-28</w:t>
      </w:r>
    </w:p>
    <w:p w:rsidR="00A11C90" w:rsidRDefault="00A11C90" w:rsidP="0070107E">
      <w:pPr>
        <w:sectPr w:rsidR="00A11C90" w:rsidSect="0070107E">
          <w:type w:val="continuous"/>
          <w:pgSz w:w="11906" w:h="16838"/>
          <w:pgMar w:top="1644" w:right="1236" w:bottom="1418" w:left="1814" w:header="851" w:footer="907" w:gutter="0"/>
          <w:pgNumType w:start="1"/>
          <w:cols w:space="720"/>
          <w:docGrid w:type="lines" w:linePitch="341" w:charSpace="2373"/>
        </w:sectPr>
      </w:pPr>
    </w:p>
    <w:p w:rsidR="00A83CAB" w:rsidRDefault="00A83CAB"/>
    <w:sectPr w:rsidR="00A83C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1C90"/>
    <w:rsid w:val="00A11C90"/>
    <w:rsid w:val="00A83C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1C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11C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2141</Characters>
  <Application>Microsoft Office Word</Application>
  <DocSecurity>0</DocSecurity>
  <Lines>17</Lines>
  <Paragraphs>5</Paragraphs>
  <ScaleCrop>false</ScaleCrop>
  <Company>Microsoft</Company>
  <LinksUpToDate>false</LinksUpToDate>
  <CharactersWithSpaces>2511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2023-08-31T06:24:00Z</dcterms:created>
</cp:coreProperties>
</file>