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24D2" w:rsidRDefault="00D124D2" w:rsidP="008759BD">
      <w:pPr>
        <w:pStyle w:val="1"/>
      </w:pPr>
      <w:r w:rsidRPr="008759BD">
        <w:rPr>
          <w:rFonts w:hint="eastAsia"/>
        </w:rPr>
        <w:t>陕西榆林：推进市场监管跨省跨区域市场主体信用信息交流合作，持续优化营商环境</w:t>
      </w:r>
    </w:p>
    <w:p w:rsidR="00D124D2" w:rsidRDefault="00D124D2" w:rsidP="00D124D2">
      <w:pPr>
        <w:ind w:firstLineChars="200" w:firstLine="420"/>
      </w:pPr>
      <w:r>
        <w:rPr>
          <w:rFonts w:hint="eastAsia"/>
        </w:rPr>
        <w:t>为进一步优化营商环境</w:t>
      </w:r>
      <w:r>
        <w:t>,</w:t>
      </w:r>
      <w:r>
        <w:t>推进跨省跨区域市场主体信用信息交流合作，近日，陕西省榆林市、朔州、鄂尔多斯（</w:t>
      </w:r>
      <w:r>
        <w:t>600295</w:t>
      </w:r>
      <w:r>
        <w:t>）三地市场监管局跨区域信用监管暨信息共享战略合作协议签约仪式在山西省右玉县成功举行。三地本着优势互补、创新协作的工作思路，共享各方在各省域内优化营商环境工作的创新成果。</w:t>
      </w:r>
    </w:p>
    <w:p w:rsidR="00D124D2" w:rsidRDefault="00D124D2" w:rsidP="00D124D2">
      <w:pPr>
        <w:ind w:firstLineChars="200" w:firstLine="420"/>
      </w:pPr>
      <w:r>
        <w:rPr>
          <w:rFonts w:hint="eastAsia"/>
        </w:rPr>
        <w:t>三省三市合作基础深厚</w:t>
      </w:r>
    </w:p>
    <w:p w:rsidR="00D124D2" w:rsidRDefault="00D124D2" w:rsidP="00D124D2">
      <w:pPr>
        <w:ind w:firstLineChars="200" w:firstLine="420"/>
      </w:pPr>
      <w:r>
        <w:rPr>
          <w:rFonts w:hint="eastAsia"/>
        </w:rPr>
        <w:t>榆林地处晋陕蒙交界处，与朔州、鄂尔多斯人文底蕴相近，经济往来频繁，在协同一体发展上拥有天然优势和良好基础。山西、内蒙古在榆投资情况</w:t>
      </w:r>
      <w:r>
        <w:t>:</w:t>
      </w:r>
      <w:r>
        <w:t>山西籍自然人有</w:t>
      </w:r>
      <w:r>
        <w:t>2076</w:t>
      </w:r>
      <w:r>
        <w:t>名在榆林投资。其中信用风险等级为</w:t>
      </w:r>
      <w:r>
        <w:t>C</w:t>
      </w:r>
      <w:r>
        <w:t>、</w:t>
      </w:r>
      <w:r>
        <w:t>D</w:t>
      </w:r>
      <w:r>
        <w:t>类企业占比为</w:t>
      </w:r>
      <w:r>
        <w:t>7%</w:t>
      </w:r>
      <w:r>
        <w:t>，因失信被列入异常名录</w:t>
      </w:r>
      <w:r>
        <w:t>196</w:t>
      </w:r>
      <w:r>
        <w:t>户，列入严重违法失信名单</w:t>
      </w:r>
      <w:r>
        <w:t>13</w:t>
      </w:r>
      <w:r>
        <w:t>户。内蒙古籍自然人有</w:t>
      </w:r>
      <w:r>
        <w:t>2839</w:t>
      </w:r>
      <w:r>
        <w:t>名在榆林投资，其中信用风险等级为</w:t>
      </w:r>
      <w:r>
        <w:t>C</w:t>
      </w:r>
      <w:r>
        <w:t>、</w:t>
      </w:r>
      <w:r>
        <w:t>D</w:t>
      </w:r>
      <w:r>
        <w:t>类的企业占比达</w:t>
      </w:r>
      <w:r>
        <w:t>6%</w:t>
      </w:r>
      <w:r>
        <w:t>，因失信被列入异常名录</w:t>
      </w:r>
      <w:r>
        <w:t>262</w:t>
      </w:r>
      <w:r>
        <w:t>户，列入严重违法失信名单</w:t>
      </w:r>
      <w:r>
        <w:t>6</w:t>
      </w:r>
      <w:r>
        <w:t>户。陕西在朔鄂两市投资情况</w:t>
      </w:r>
      <w:r>
        <w:t>:</w:t>
      </w:r>
      <w:r>
        <w:t>陕西籍自然人有</w:t>
      </w:r>
      <w:r>
        <w:t>259</w:t>
      </w:r>
      <w:r>
        <w:t>名在朔投资，法人股东</w:t>
      </w:r>
      <w:r>
        <w:t>17</w:t>
      </w:r>
      <w:r>
        <w:t>家在朔投资。信用风险等级为</w:t>
      </w:r>
      <w:r>
        <w:t>C</w:t>
      </w:r>
      <w:r>
        <w:t>、</w:t>
      </w:r>
      <w:r>
        <w:t>D</w:t>
      </w:r>
      <w:r>
        <w:t>类</w:t>
      </w:r>
      <w:r>
        <w:rPr>
          <w:rFonts w:hint="eastAsia"/>
        </w:rPr>
        <w:t>企业占比</w:t>
      </w:r>
      <w:r>
        <w:t>15.58%</w:t>
      </w:r>
      <w:r>
        <w:t>，因失信被列入异常名录</w:t>
      </w:r>
      <w:r>
        <w:t>54</w:t>
      </w:r>
      <w:r>
        <w:t>户，列入严重违法失信名单</w:t>
      </w:r>
      <w:r>
        <w:t>3</w:t>
      </w:r>
      <w:r>
        <w:t>户。陕西籍自然人有</w:t>
      </w:r>
      <w:r>
        <w:t>6000</w:t>
      </w:r>
      <w:r>
        <w:t>余名在鄂尔多斯投资。</w:t>
      </w:r>
    </w:p>
    <w:p w:rsidR="00D124D2" w:rsidRDefault="00D124D2" w:rsidP="00D124D2">
      <w:pPr>
        <w:ind w:firstLineChars="200" w:firstLine="420"/>
      </w:pPr>
      <w:r>
        <w:rPr>
          <w:rFonts w:hint="eastAsia"/>
        </w:rPr>
        <w:t>“三点发力”推动共享共赢</w:t>
      </w:r>
    </w:p>
    <w:p w:rsidR="00D124D2" w:rsidRDefault="00D124D2" w:rsidP="00D124D2">
      <w:pPr>
        <w:ind w:firstLineChars="200" w:firstLine="420"/>
      </w:pPr>
      <w:r>
        <w:rPr>
          <w:rFonts w:hint="eastAsia"/>
        </w:rPr>
        <w:t>按照协议，跨区域监管合作将从三个层面发力。加强区域数据共享，探索创新数据分析与共享工作机制，畅通信息共享渠道，在政策和法律允许范围内，根据工作需要推动市场主体信用信息共享应用。</w:t>
      </w:r>
    </w:p>
    <w:p w:rsidR="00D124D2" w:rsidRDefault="00D124D2" w:rsidP="00D124D2">
      <w:pPr>
        <w:ind w:firstLineChars="200" w:firstLine="420"/>
      </w:pPr>
      <w:r>
        <w:rPr>
          <w:rFonts w:hint="eastAsia"/>
        </w:rPr>
        <w:t>强化区域监管联动，探索建立三地跨区域监管联动机制，从市场主体登记事项“双随机”监管入手，逐步延伸扩展其他领域的联动监管。</w:t>
      </w:r>
    </w:p>
    <w:p w:rsidR="00D124D2" w:rsidRDefault="00D124D2" w:rsidP="00D124D2">
      <w:pPr>
        <w:ind w:firstLineChars="200" w:firstLine="420"/>
      </w:pPr>
      <w:r>
        <w:rPr>
          <w:rFonts w:hint="eastAsia"/>
        </w:rPr>
        <w:t>推动工作交流互动，进一步加强沟通联络，推动信用监管工作典型经验的相互学习和融会贯通，有效提升三地市场监管机关依法行政能力和水平。</w:t>
      </w:r>
    </w:p>
    <w:p w:rsidR="00D124D2" w:rsidRDefault="00D124D2" w:rsidP="00D124D2">
      <w:pPr>
        <w:ind w:firstLineChars="200" w:firstLine="420"/>
      </w:pPr>
      <w:r>
        <w:rPr>
          <w:rFonts w:hint="eastAsia"/>
        </w:rPr>
        <w:t>打破壁垒创新工作格局</w:t>
      </w:r>
    </w:p>
    <w:p w:rsidR="00D124D2" w:rsidRDefault="00D124D2" w:rsidP="00D124D2">
      <w:pPr>
        <w:ind w:firstLineChars="200" w:firstLine="420"/>
      </w:pPr>
      <w:r>
        <w:rPr>
          <w:rFonts w:hint="eastAsia"/>
        </w:rPr>
        <w:t>此次跨区域战略合作协议的签署，打破了三地市场主体信用信息的省际隔离，构建了“信息共享、协查互助、疑难互商、协同推进”的工作新格局，将助力实现晋陕蒙更高质量一体化发展目标，努力成为西北地区信用监管体系建设、优化信用环境的合作样板。此次签约仪式上，榆林市市场监管局与朔州市市场监管局完成了战略合作协议签署后的首个协助调查工作。</w:t>
      </w:r>
      <w:r>
        <w:t>(</w:t>
      </w:r>
      <w:r>
        <w:t>姚刚拓步平</w:t>
      </w:r>
      <w:r>
        <w:t>)</w:t>
      </w:r>
    </w:p>
    <w:p w:rsidR="00D124D2" w:rsidRDefault="00D124D2" w:rsidP="008759BD">
      <w:pPr>
        <w:ind w:firstLine="420"/>
        <w:jc w:val="right"/>
      </w:pPr>
      <w:r w:rsidRPr="008759BD">
        <w:rPr>
          <w:rFonts w:hint="eastAsia"/>
        </w:rPr>
        <w:t>中国发展网</w:t>
      </w:r>
      <w:r>
        <w:rPr>
          <w:rFonts w:hint="eastAsia"/>
        </w:rPr>
        <w:t>2023-9-4</w:t>
      </w:r>
    </w:p>
    <w:p w:rsidR="00D124D2" w:rsidRDefault="00D124D2" w:rsidP="00394A0F">
      <w:pPr>
        <w:sectPr w:rsidR="00D124D2" w:rsidSect="00394A0F">
          <w:type w:val="continuous"/>
          <w:pgSz w:w="11906" w:h="16838"/>
          <w:pgMar w:top="1644" w:right="1236" w:bottom="1418" w:left="1814" w:header="851" w:footer="907" w:gutter="0"/>
          <w:pgNumType w:start="1"/>
          <w:cols w:space="720"/>
          <w:docGrid w:type="lines" w:linePitch="341" w:charSpace="2373"/>
        </w:sectPr>
      </w:pPr>
    </w:p>
    <w:p w:rsidR="00683CE8" w:rsidRDefault="00683CE8"/>
    <w:sectPr w:rsidR="00683C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24D2"/>
    <w:rsid w:val="00683CE8"/>
    <w:rsid w:val="00D124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24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24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789</Characters>
  <Application>Microsoft Office Word</Application>
  <DocSecurity>0</DocSecurity>
  <Lines>6</Lines>
  <Paragraphs>1</Paragraphs>
  <ScaleCrop>false</ScaleCrop>
  <Company>Microsoft</Company>
  <LinksUpToDate>false</LinksUpToDate>
  <CharactersWithSpaces>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2023-09-08T00:55:00Z</dcterms:created>
</cp:coreProperties>
</file>