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7D8" w:rsidRDefault="001957D8" w:rsidP="00322E53">
      <w:pPr>
        <w:pStyle w:val="1"/>
      </w:pPr>
      <w:r w:rsidRPr="00322E53">
        <w:rPr>
          <w:rFonts w:hint="eastAsia"/>
        </w:rPr>
        <w:t>河北：数字政府建设让城市治理变“智理”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智慧城市指挥中心串线成网，城市治理“一朵云”全覆盖；无人驾驶、智能巡查亮相街头，为城市监管带来“智慧体验”；打破部门信息壁垒，“一网通办”成为常态。近年来，随着数字技术发展，数字政府建设也驶入快车道，不断让城市治理变“智理”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近日，</w:t>
      </w:r>
      <w:r>
        <w:t>2023</w:t>
      </w:r>
      <w:r>
        <w:t>中国国际数字经济博览会（简称</w:t>
      </w:r>
      <w:r>
        <w:t>“</w:t>
      </w:r>
      <w:r>
        <w:t>数博会</w:t>
      </w:r>
      <w:r>
        <w:t>”</w:t>
      </w:r>
      <w:r>
        <w:t>）在河北石家庄举办。在</w:t>
      </w:r>
      <w:r>
        <w:t>“</w:t>
      </w:r>
      <w:r>
        <w:t>数字馆陶</w:t>
      </w:r>
      <w:r>
        <w:t>·</w:t>
      </w:r>
      <w:r>
        <w:t>智慧未来</w:t>
      </w:r>
      <w:r>
        <w:t>”</w:t>
      </w:r>
      <w:r>
        <w:t>展位，一款集成多种功能的智慧灯杆吸引了不少人的关注。其顶部搭载的环境监测传感器，可实现区域空气质量在线监测；中间的智慧监控摄像头，能对城市中的违章停车、私设摊位等行为进行抓拍，遇紧急情况还可以一键报警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“智慧灯杆和各种感知终端结合，实现对城市中不同场景的数据采集、分析，服务公安、交管、城管、生态环境等多个部门。”智慧馆陶综合指挥中心主任闫立峰说，目前该设备已经在馆陶县落地应用。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“应用场景创新已成为数字政府建设重要驱动力。”在数博会中国式现代化数字政府应用场景创新论坛上，中央党校教授、国家信息化专家咨询委员会委员汪玉凯说，各地可以在交通治理、城市应急、生态治理、智慧政务等领域挖掘场景机会，提供高效便捷的数字社会服务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在廊坊临空经济区，一辆</w:t>
      </w:r>
      <w:r>
        <w:t>5G</w:t>
      </w:r>
      <w:r>
        <w:t>智能巡逻车行驶在道路上，车顶安装的全景高清摄像头沿街拍摄。临空经济区数智城市运营中心里，全区</w:t>
      </w:r>
      <w:r>
        <w:t>3D</w:t>
      </w:r>
      <w:r>
        <w:t>地图铺满大屏，街道、楼宇、田地一目了然。工作人员通过系统实时查看巡逻车发来的</w:t>
      </w:r>
      <w:r>
        <w:t>“</w:t>
      </w:r>
      <w:r>
        <w:t>城市体检报告</w:t>
      </w:r>
      <w:r>
        <w:t>”</w:t>
      </w:r>
      <w:r>
        <w:t>，进而科学做出决策。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在唐山市环境保护指挥中心，不停闪烁的三块监控大屏幕背后，是一张覆盖全市主要污染源的“天罗地网”。屏幕上除了显示大气网格化监测点、重点企业、重点施工工地等点位的大气数据，还集成了十余套监控系统，依托数字信息化监管体系，可实时研判污染形势、下达管控指令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唐山是河北重要的工业城市，生态环境治理压力相对较大。唐山市生态环境局科技执法处处长胡志光表示，当地专门建设了固定污染源非现场数字信息化监管体系，基于大数据架构，从企业、设备、排口层级对数据进行深度整合，在对企业全过程监管的同时，也对异常情况进行源头预防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如今，科技赋能政务服务体验优化，政务服务实现从被动到主动、从标准化到个性化、从人工审批到智能快审，群众办事有了新体验。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“你好，我在外地赶不回来，无法现场认定怎么办？”不少通过教师资格考试的人员可能面临无法完成现场认定的问题。为了提高事项审批服务效率，石家庄市鹿泉区创新教师资格认证方式，通过智能审批系统，为办事群众提供“线上材料提交</w:t>
      </w:r>
      <w:r>
        <w:t>+AI</w:t>
      </w:r>
      <w:r>
        <w:t>智能审批</w:t>
      </w:r>
      <w:r>
        <w:t>+</w:t>
      </w:r>
      <w:r>
        <w:t>证书免费邮寄</w:t>
      </w:r>
      <w:r>
        <w:t>”</w:t>
      </w:r>
      <w:r>
        <w:t>的全流程服务。整个审批流程平均用时</w:t>
      </w:r>
      <w:r>
        <w:t>3</w:t>
      </w:r>
      <w:r>
        <w:t>分钟，真正实现申请人</w:t>
      </w:r>
      <w:r>
        <w:t>“</w:t>
      </w:r>
      <w:r>
        <w:t>足不出户</w:t>
      </w:r>
      <w:r>
        <w:t>”</w:t>
      </w:r>
      <w:r>
        <w:t>便能拿到教师资格证。</w:t>
      </w:r>
    </w:p>
    <w:p w:rsidR="001957D8" w:rsidRDefault="001957D8" w:rsidP="001957D8">
      <w:pPr>
        <w:ind w:firstLineChars="200" w:firstLine="420"/>
      </w:pPr>
      <w:r>
        <w:rPr>
          <w:rFonts w:hint="eastAsia"/>
        </w:rPr>
        <w:t>河北省政务服务管理办公室党组书记、主任孙晓函表示，通过大力深化一网通办，全省实现</w:t>
      </w:r>
      <w:r>
        <w:t>76</w:t>
      </w:r>
      <w:r>
        <w:t>个企业和个人全生命周期套餐</w:t>
      </w:r>
      <w:r>
        <w:t>“</w:t>
      </w:r>
      <w:r>
        <w:t>一次办</w:t>
      </w:r>
      <w:r>
        <w:t>”</w:t>
      </w:r>
      <w:r>
        <w:t>，涉企经营事项申请材料减少</w:t>
      </w:r>
      <w:r>
        <w:t>35%</w:t>
      </w:r>
      <w:r>
        <w:t>，</w:t>
      </w:r>
      <w:r>
        <w:t>232</w:t>
      </w:r>
      <w:r>
        <w:t>个河北事项</w:t>
      </w:r>
      <w:r>
        <w:t>“</w:t>
      </w:r>
      <w:r>
        <w:t>京津冀一网通办</w:t>
      </w:r>
      <w:r>
        <w:t>”</w:t>
      </w:r>
      <w:r>
        <w:t>，</w:t>
      </w:r>
      <w:r>
        <w:t>160</w:t>
      </w:r>
      <w:r>
        <w:t>个高频事项</w:t>
      </w:r>
      <w:r>
        <w:t>“</w:t>
      </w:r>
      <w:r>
        <w:t>跨省通办</w:t>
      </w:r>
      <w:r>
        <w:t>”</w:t>
      </w:r>
      <w:r>
        <w:t>。</w:t>
      </w:r>
    </w:p>
    <w:p w:rsidR="001957D8" w:rsidRDefault="001957D8" w:rsidP="00322E53">
      <w:pPr>
        <w:jc w:val="right"/>
      </w:pPr>
      <w:r w:rsidRPr="00322E53">
        <w:rPr>
          <w:rFonts w:hint="eastAsia"/>
        </w:rPr>
        <w:t>新华社</w:t>
      </w:r>
      <w:r>
        <w:rPr>
          <w:rFonts w:hint="eastAsia"/>
        </w:rPr>
        <w:t>2023-9-9</w:t>
      </w:r>
    </w:p>
    <w:p w:rsidR="001957D8" w:rsidRDefault="001957D8" w:rsidP="00CA5ADC">
      <w:pPr>
        <w:sectPr w:rsidR="001957D8" w:rsidSect="00CA5A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171A" w:rsidRDefault="0048171A"/>
    <w:sectPr w:rsidR="004817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57D8"/>
    <w:rsid w:val="001957D8"/>
    <w:rsid w:val="00481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57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57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>微软中国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2023-09-12T11:31:00Z</dcterms:created>
</cp:coreProperties>
</file>