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20BC" w:rsidRDefault="00F320BC" w:rsidP="00BC4219">
      <w:pPr>
        <w:pStyle w:val="1"/>
      </w:pPr>
      <w:r w:rsidRPr="0012346C">
        <w:t>浙江省杭州财政五措并举推动财会监督高起点开局高质量推进</w:t>
      </w:r>
    </w:p>
    <w:p w:rsidR="00F320BC" w:rsidRDefault="00F320BC" w:rsidP="00F320BC">
      <w:pPr>
        <w:ind w:firstLineChars="200" w:firstLine="420"/>
        <w:jc w:val="left"/>
      </w:pPr>
      <w:r>
        <w:rPr>
          <w:rFonts w:hint="eastAsia"/>
        </w:rPr>
        <w:t>为深入贯彻落实习近平总书记关于财会监督重要论述精神，更好发挥财会监督在推进全面从严治党、维护政令畅通、规范财经秩序、促进经济发展等方面的重要保障作用，市财政局充分发扬省会城市勇挑大梁的责任担当和大抓落实的务实作风，聚焦五大主线、抓实各项举措，系统推动财会监督高起点开局、高质量推进。</w:t>
      </w:r>
    </w:p>
    <w:p w:rsidR="00F320BC" w:rsidRDefault="00F320BC" w:rsidP="00F320BC">
      <w:pPr>
        <w:ind w:firstLineChars="200" w:firstLine="420"/>
        <w:jc w:val="left"/>
      </w:pPr>
      <w:r>
        <w:rPr>
          <w:rFonts w:hint="eastAsia"/>
        </w:rPr>
        <w:t>一是聚焦组织领导，坚持多位一体，统筹谋划布局。坚持高位推动，服务中心大局。第一时间将中办、国办《关于进一步加强财会监督工作的意见》的重要精神和工作建议上报市委、市政府主要领导，在两位主要领导的谋划下，明确由市委财经委员会统筹推动我市财会监督工作有序开展。</w:t>
      </w:r>
      <w:r>
        <w:t>3</w:t>
      </w:r>
      <w:r>
        <w:t>月</w:t>
      </w:r>
      <w:r>
        <w:t>29</w:t>
      </w:r>
      <w:r>
        <w:t>日召开的市委财经委会议首次全面审议我市财会监督重点工作。该做法获得省财政厅主要领导批示肯定，并写入《浙江省进一步加强财会监督工作的实施方案》在全省推广实施。坚持专班运作，压实主体责任。结合我市实际，谋深谋实我市财会监督年工作方案，成立</w:t>
      </w:r>
      <w:r>
        <w:t>“</w:t>
      </w:r>
      <w:r>
        <w:t>领导小组</w:t>
      </w:r>
      <w:r>
        <w:t>+</w:t>
      </w:r>
      <w:r>
        <w:t>业务</w:t>
      </w:r>
      <w:r>
        <w:rPr>
          <w:rFonts w:hint="eastAsia"/>
        </w:rPr>
        <w:t>小组”工作专班，紧扣六大专题，明确任务分工，确保到岗到责，并积极承接省财政厅在小切口项目、数字化改革等各类试点，全面推动我市财会监督年工作走深走实，营造我市财会监督良好氛围。坚持市域一体，统筹协调推进。坚持全市“一盘棋”，实现统一归口管理、统一组织实施、统一规范程序的内部监督流程，全力打造巡察、人大、审计、财政“四位一体”联动监督体系，全方位指导区、县（市）开展财会监督，今年共开展联合监督项目</w:t>
      </w:r>
      <w:r>
        <w:t>3</w:t>
      </w:r>
      <w:r>
        <w:t>个，并首次实施区、县（市）监督项目计划向市局备案机制，充分发挥绩效考核指挥棒效能。</w:t>
      </w:r>
    </w:p>
    <w:p w:rsidR="00F320BC" w:rsidRDefault="00F320BC" w:rsidP="00F320BC">
      <w:pPr>
        <w:ind w:firstLineChars="200" w:firstLine="420"/>
        <w:jc w:val="left"/>
      </w:pPr>
      <w:r>
        <w:rPr>
          <w:rFonts w:hint="eastAsia"/>
        </w:rPr>
        <w:t>二是聚焦制度保障，夯实协同联动，健全监督体系。重塑财会监督框架体系。从全市层面加强财会监督制度顶层设计，推动出台《关于全面加强财会监督工作的实施方案》，明确全市财会监督框架体系和重点举措，并全面梳理财政主责监督履责要求，着手构建具有杭州特色的部门预算、专项资金、资产债务等“</w:t>
      </w:r>
      <w:r>
        <w:t>1+N”</w:t>
      </w:r>
      <w:r>
        <w:t>监督框架体系。完善单位内部控制规程。修订完善全市财政系统内部控制基本制度，构建内部规程</w:t>
      </w:r>
      <w:r>
        <w:t>“1+10”</w:t>
      </w:r>
      <w:r>
        <w:t>控制体系，突出对重要节点、关键岗位的控制，进一步明确岗位职责、厘清管理流程，编制形成</w:t>
      </w:r>
      <w:r>
        <w:t>94</w:t>
      </w:r>
      <w:r>
        <w:t>项</w:t>
      </w:r>
      <w:r>
        <w:t>“</w:t>
      </w:r>
      <w:r>
        <w:t>财政管理事项作业指导书</w:t>
      </w:r>
      <w:r>
        <w:t>”</w:t>
      </w:r>
      <w:r>
        <w:t>，进一步构建权责</w:t>
      </w:r>
      <w:r>
        <w:rPr>
          <w:rFonts w:hint="eastAsia"/>
        </w:rPr>
        <w:t>清晰、运行高效、科学合理的制度防控体系。健全贯通协同监督机制。加强内部协同，建立处室监督联络员和业务处室联系人、局内部审查和局外部检查双向沟通机制，夯实贯穿预算运行全过程、专项与日常监督相结合的大监督格局；加强外部协作，联合巡察办出台巡财联动操作办法，制定局内部巡财联动操作规程，并于今年</w:t>
      </w:r>
      <w:r>
        <w:t>7</w:t>
      </w:r>
      <w:r>
        <w:t>月首次对市红十字会开展联合监督检查，全面推进巡察监督和财会监督计划共商、检查共驻、成果共享。</w:t>
      </w:r>
    </w:p>
    <w:p w:rsidR="00F320BC" w:rsidRDefault="00F320BC" w:rsidP="00F320BC">
      <w:pPr>
        <w:ind w:firstLineChars="200" w:firstLine="420"/>
        <w:jc w:val="left"/>
      </w:pPr>
      <w:r>
        <w:rPr>
          <w:rFonts w:hint="eastAsia"/>
        </w:rPr>
        <w:t>三是聚焦以财辅政，严肃财经纪律，推进花钱问效。严格监督检查。围绕党委、政府决策部署落实、严肃财经纪律、打击财会违法行为等重点领域，通过点上深挖、线上延伸、面上铺开等方式，抽调骨干、集中力量做好今年</w:t>
      </w:r>
      <w:r>
        <w:t>21</w:t>
      </w:r>
      <w:r>
        <w:t>个财会监督项目，截至目前，共查处违规资金</w:t>
      </w:r>
      <w:r>
        <w:t>10.08</w:t>
      </w:r>
      <w:r>
        <w:t>亿元，全面落实闭环整改，督促相关单位立行立改和建章立制。严格绩效评价。围绕政府投资产业基金、加装电梯、养老服务等重点领域，</w:t>
      </w:r>
      <w:r>
        <w:t>2022</w:t>
      </w:r>
      <w:r>
        <w:t>年，共开展重点绩效评价项目</w:t>
      </w:r>
      <w:r>
        <w:t>15</w:t>
      </w:r>
      <w:r>
        <w:t>个，核减财政资金</w:t>
      </w:r>
      <w:r>
        <w:t>600</w:t>
      </w:r>
      <w:r>
        <w:t>万元；开展事前绩效评估审核项目</w:t>
      </w:r>
      <w:r>
        <w:t>7</w:t>
      </w:r>
      <w:r>
        <w:t>个，核减财政资金</w:t>
      </w:r>
      <w:r>
        <w:t>2.3</w:t>
      </w:r>
      <w:r>
        <w:t>亿元。强化全生命周期预算绩</w:t>
      </w:r>
      <w:r>
        <w:rPr>
          <w:rFonts w:hint="eastAsia"/>
        </w:rPr>
        <w:t>效管理，促进财政资金规范安全高效使用。严格工程结算。围绕重点工程项目，</w:t>
      </w:r>
      <w:r>
        <w:t>2022</w:t>
      </w:r>
      <w:r>
        <w:t>年，共对重点监督项目的</w:t>
      </w:r>
      <w:r>
        <w:t>40</w:t>
      </w:r>
      <w:r>
        <w:t>份结算审核报告、</w:t>
      </w:r>
      <w:r>
        <w:t>120</w:t>
      </w:r>
      <w:r>
        <w:t>份审核查询事项、</w:t>
      </w:r>
      <w:r>
        <w:t>480</w:t>
      </w:r>
      <w:r>
        <w:t>份审核周报表进行监督，提出监督复核意见</w:t>
      </w:r>
      <w:r>
        <w:t>298</w:t>
      </w:r>
      <w:r>
        <w:t>条，提出财会监督意见</w:t>
      </w:r>
      <w:r>
        <w:t>248</w:t>
      </w:r>
      <w:r>
        <w:t>条，共核减资金</w:t>
      </w:r>
      <w:r>
        <w:t>2.96</w:t>
      </w:r>
      <w:r>
        <w:t>亿元，平均核减率为</w:t>
      </w:r>
      <w:r>
        <w:t>10.47%</w:t>
      </w:r>
      <w:r>
        <w:t>，有效节约财政资金，强化政府投资项目投资控制管理。</w:t>
      </w:r>
    </w:p>
    <w:p w:rsidR="00F320BC" w:rsidRDefault="00F320BC" w:rsidP="00F320BC">
      <w:pPr>
        <w:ind w:firstLineChars="200" w:firstLine="420"/>
        <w:jc w:val="left"/>
      </w:pPr>
      <w:r>
        <w:rPr>
          <w:rFonts w:hint="eastAsia"/>
        </w:rPr>
        <w:t>四是聚焦数智赋能，围绕创新突破，打造标志成果。打造财会监督协同应用平台。推进日常监管数字化管理，引入数字化业务规范指标和预警阈值，集成开发检查整改、风险事项、监督报告等功能模块，构建“异常发现－风险推送－核查核实－整改反馈”的监督闭环，打造数据交叉对比分析平台，进一步推动财政运行规范化。创新财政数字运行新平台。全面推进数据治理，规范财政数据标准，完善财政数据分级分类体系，挖掘数据要素价值，提升财政运行感知和风险预警功能；迭代升级财政</w:t>
      </w:r>
      <w:r>
        <w:t>E</w:t>
      </w:r>
      <w:r>
        <w:t>平台</w:t>
      </w:r>
      <w:r>
        <w:t>2.0</w:t>
      </w:r>
      <w:r>
        <w:t>，搭建区域化财会监督协同平台，进一步完成财政资金管理部门、区县和</w:t>
      </w:r>
      <w:r>
        <w:rPr>
          <w:rFonts w:hint="eastAsia"/>
        </w:rPr>
        <w:t>政策三重画像模块，逐步打造以数据驱动为特点的预算管理一体化</w:t>
      </w:r>
      <w:r>
        <w:t>5</w:t>
      </w:r>
      <w:r>
        <w:t>星级财政管理协同服务区。迭代涉企财政资金</w:t>
      </w:r>
      <w:r>
        <w:t>“</w:t>
      </w:r>
      <w:r>
        <w:t>全网查</w:t>
      </w:r>
      <w:r>
        <w:t>”</w:t>
      </w:r>
      <w:r>
        <w:t>。聚焦政策制定是否科学、资金使用是否规范、预算绩效是否良好三大命题，围绕资金</w:t>
      </w:r>
      <w:r>
        <w:t>“</w:t>
      </w:r>
      <w:r>
        <w:t>来源可溯、去向可追、进度可查</w:t>
      </w:r>
      <w:r>
        <w:t>”</w:t>
      </w:r>
      <w:r>
        <w:t>三大应用，迭代升级打造财政涉企资金</w:t>
      </w:r>
      <w:r>
        <w:t>“</w:t>
      </w:r>
      <w:r>
        <w:t>全网查</w:t>
      </w:r>
      <w:r>
        <w:t>”</w:t>
      </w:r>
      <w:r>
        <w:t>平台。该平台于今年</w:t>
      </w:r>
      <w:r>
        <w:t>3</w:t>
      </w:r>
      <w:r>
        <w:t>月底正式上线运行，目前正在积极与亲清在线</w:t>
      </w:r>
      <w:r>
        <w:t>“</w:t>
      </w:r>
      <w:r>
        <w:t>政策超市</w:t>
      </w:r>
      <w:r>
        <w:t>”</w:t>
      </w:r>
      <w:r>
        <w:t>对接升级完善应用场景。</w:t>
      </w:r>
    </w:p>
    <w:p w:rsidR="00F320BC" w:rsidRDefault="00F320BC" w:rsidP="00F320BC">
      <w:pPr>
        <w:ind w:firstLineChars="200" w:firstLine="420"/>
        <w:jc w:val="left"/>
      </w:pPr>
      <w:r>
        <w:rPr>
          <w:rFonts w:hint="eastAsia"/>
        </w:rPr>
        <w:t>五是聚焦红色领航，突出变革重塑，强化本领提升。聚焦打造三能监督队伍。以培养“能说能写能查”的财会监督干部队伍为导向，将财税政策、账务处理、平台操作、处理处罚等作为重点，分专业分类别搭建我市财会监督人才库和评价指标体系，抓好财会监督专业队伍选拔、管理、培养、履责、评价机制全过程建设，着力提高监督干部的政策理论水平和履行岗位职责的综合能力。综合运用六项工作机制。以“岗位大讨论、规范大提升、项目大联动、英才大培养、报告大比选、业务大培训”六大活动为抓手，全面提升监督队伍专业水平，今年以来，联动区、县（市）开展财会大讲堂</w:t>
      </w:r>
      <w:r>
        <w:t>2</w:t>
      </w:r>
      <w:r>
        <w:t>期，举办业务培训</w:t>
      </w:r>
      <w:r>
        <w:t>5</w:t>
      </w:r>
      <w:r>
        <w:t>场，共培训</w:t>
      </w:r>
      <w:r>
        <w:t>200</w:t>
      </w:r>
      <w:r>
        <w:t>人次，并计划于年底组织开展全市财会监督能手比拼练武，进一步提升业务实操能力。紧紧围绕五级联动品牌。围绕主题教育和亚运攻坚，按照</w:t>
      </w:r>
      <w:r>
        <w:t>“</w:t>
      </w:r>
      <w:r>
        <w:t>党建引领，业务出彩，服务提升</w:t>
      </w:r>
      <w:r>
        <w:t>”</w:t>
      </w:r>
      <w:r>
        <w:t>总要求，持续打造</w:t>
      </w:r>
      <w:r>
        <w:t>“</w:t>
      </w:r>
      <w:r>
        <w:t>五级联动</w:t>
      </w:r>
      <w:r>
        <w:t>”</w:t>
      </w:r>
      <w:r>
        <w:t>党建品牌，创新运用</w:t>
      </w:r>
      <w:r>
        <w:t>“</w:t>
      </w:r>
      <w:r>
        <w:t>望闻问切治</w:t>
      </w:r>
      <w:r>
        <w:t>”</w:t>
      </w:r>
      <w:r>
        <w:t>五步工作法，通过党建引领监督干部，推进</w:t>
      </w:r>
      <w:r>
        <w:t>“</w:t>
      </w:r>
      <w:r>
        <w:t>信息互通、资源共享、优势互补</w:t>
      </w:r>
      <w:r>
        <w:t>”</w:t>
      </w:r>
      <w:r>
        <w:t>的党建共建新格局，全面提升财会监督杭州辨识度。</w:t>
      </w:r>
    </w:p>
    <w:p w:rsidR="00F320BC" w:rsidRDefault="00F320BC" w:rsidP="00F320BC">
      <w:pPr>
        <w:ind w:firstLineChars="200" w:firstLine="420"/>
        <w:jc w:val="right"/>
      </w:pPr>
      <w:r>
        <w:rPr>
          <w:rFonts w:hint="eastAsia"/>
        </w:rPr>
        <w:t>财政部</w:t>
      </w:r>
      <w:r>
        <w:t>2023-08-03</w:t>
      </w:r>
    </w:p>
    <w:p w:rsidR="00F320BC" w:rsidRDefault="00F320BC" w:rsidP="00B67E1D">
      <w:pPr>
        <w:sectPr w:rsidR="00F320BC" w:rsidSect="00B67E1D">
          <w:type w:val="continuous"/>
          <w:pgSz w:w="11906" w:h="16838"/>
          <w:pgMar w:top="1644" w:right="1236" w:bottom="1418" w:left="1814" w:header="851" w:footer="907" w:gutter="0"/>
          <w:pgNumType w:start="1"/>
          <w:cols w:space="720"/>
          <w:docGrid w:type="lines" w:linePitch="341" w:charSpace="2373"/>
        </w:sectPr>
      </w:pPr>
    </w:p>
    <w:p w:rsidR="001B69AA" w:rsidRDefault="001B69AA"/>
    <w:sectPr w:rsidR="001B69A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320BC"/>
    <w:rsid w:val="001B69AA"/>
    <w:rsid w:val="00F320B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320B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320B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362</Words>
  <Characters>2066</Characters>
  <Application>Microsoft Office Word</Application>
  <DocSecurity>0</DocSecurity>
  <Lines>17</Lines>
  <Paragraphs>4</Paragraphs>
  <ScaleCrop>false</ScaleCrop>
  <Company>Microsoft</Company>
  <LinksUpToDate>false</LinksUpToDate>
  <CharactersWithSpaces>2424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2023-08-17T08:34:00Z</dcterms:created>
</cp:coreProperties>
</file>