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E0" w:rsidRDefault="00983DE0" w:rsidP="00BC4219">
      <w:pPr>
        <w:pStyle w:val="1"/>
      </w:pPr>
      <w:r w:rsidRPr="002E16B4">
        <w:rPr>
          <w:rFonts w:hint="eastAsia"/>
        </w:rPr>
        <w:t>四川省绵阳市财政局</w:t>
      </w:r>
      <w:r>
        <w:rPr>
          <w:rFonts w:hint="eastAsia"/>
        </w:rPr>
        <w:t>：</w:t>
      </w:r>
      <w:r w:rsidRPr="002E16B4">
        <w:rPr>
          <w:rFonts w:hint="eastAsia"/>
        </w:rPr>
        <w:t>聚焦“关键点”</w:t>
      </w:r>
      <w:r w:rsidRPr="002E16B4">
        <w:t>用好</w:t>
      </w:r>
      <w:r w:rsidRPr="002E16B4">
        <w:t>“</w:t>
      </w:r>
      <w:r w:rsidRPr="002E16B4">
        <w:t>连环招</w:t>
      </w:r>
      <w:r w:rsidRPr="002E16B4">
        <w:t>”</w:t>
      </w:r>
      <w:r w:rsidRPr="002E16B4">
        <w:t>推进预算绩效管理高质量发展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今年以来，四川省绵阳市财政局主动作为、精准发力，持续强化财政资金管理，全面提升资金使用绩效，助推财政高质量发展。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聚焦制度夯“基”，在“整合</w:t>
      </w:r>
      <w:r>
        <w:t>+</w:t>
      </w:r>
      <w:r>
        <w:t>规范</w:t>
      </w:r>
      <w:r>
        <w:t>”</w:t>
      </w:r>
      <w:r>
        <w:t>上求突破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针对专项资金使用分散、方向相同、规模较小的问题，构建“多个渠道引水、一个池子蓄水、一个龙头放水”的资金统筹整合使用机制，实现“零钱”变“整钱”，集中财力办大事。一是坚持“整合”原则，资金更加集中。遵循“归并相近、跨部门整合”要求，对市本级涉及产业发展、民生保障、行政运转、基础设施建设的</w:t>
      </w:r>
      <w:r>
        <w:t>204</w:t>
      </w:r>
      <w:r>
        <w:t>项专项资金共计</w:t>
      </w:r>
      <w:r>
        <w:t>67.24</w:t>
      </w:r>
      <w:r>
        <w:t>亿元分类整合为</w:t>
      </w:r>
      <w:r>
        <w:t>157</w:t>
      </w:r>
      <w:r>
        <w:t>项，压减比例达</w:t>
      </w:r>
      <w:r>
        <w:t>23%</w:t>
      </w:r>
      <w:r>
        <w:t>。二是遵循</w:t>
      </w:r>
      <w:r>
        <w:t>“</w:t>
      </w:r>
      <w:r>
        <w:t>规范</w:t>
      </w:r>
      <w:r>
        <w:t>”</w:t>
      </w:r>
      <w:r>
        <w:t>要求，制度更加健全。财政部门会同主管部门按照</w:t>
      </w:r>
      <w:r>
        <w:t>“</w:t>
      </w:r>
      <w:r>
        <w:t>一个（类）专项，一个办法</w:t>
      </w:r>
      <w:r>
        <w:t>”</w:t>
      </w:r>
      <w:r>
        <w:t>，健全完善贯穿资金分配、支付、使用各环节全链条的资金管理办法</w:t>
      </w:r>
      <w:r>
        <w:t>53</w:t>
      </w:r>
      <w:r>
        <w:t>个</w:t>
      </w:r>
      <w:r>
        <w:rPr>
          <w:rFonts w:hint="eastAsia"/>
        </w:rPr>
        <w:t>，涉及财金互动、文化旅游、就业等多个方面。三是明确“支持”重点，类别更加清晰。在加大产业发展方面，突出科技、制造业等重点领域和关键环节；在保障民生方面，强化保障范围和支出标准管理；在支持政府投资方面，保证年度投资计划与本级预算相衔接，着力堵塞资金分配漏洞，确保资金分配制度化规范化，有力提升了财政资源配置效率。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聚焦执行提“速”，在“进度</w:t>
      </w:r>
      <w:r>
        <w:t>+</w:t>
      </w:r>
      <w:r>
        <w:t>环节</w:t>
      </w:r>
      <w:r>
        <w:t>”</w:t>
      </w:r>
      <w:r>
        <w:t>上做文章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针对预算执行中部分支出进度较慢、预算资金结转较多、财政资金沉淀等问题，打好“建制度、强管理、严督促”主动战，加快支出进度，全力保障各项重大战略任务落实落地、早见成效。一是科学精准施策，管理有“方”。市政府出台加强财政支出预算执行管理的若干措施，明确先有预算、再有指标、后有支出的原则，强化预算执行约束，加快财政资金支出进度，实施动态清缴财政存量资金和严肃财经纪律等</w:t>
      </w:r>
      <w:r>
        <w:t>16</w:t>
      </w:r>
      <w:r>
        <w:t>条工作举措。二是实施限时下达，执行见</w:t>
      </w:r>
      <w:r>
        <w:t>“</w:t>
      </w:r>
      <w:r>
        <w:t>效</w:t>
      </w:r>
      <w:r>
        <w:t>”</w:t>
      </w:r>
      <w:r>
        <w:t>。除据实结算项目和应急救灾等特殊项目外，对市本级专项预算、上级转移支付、上年结转资金分类推行预算限时分</w:t>
      </w:r>
      <w:r>
        <w:rPr>
          <w:rFonts w:hint="eastAsia"/>
        </w:rPr>
        <w:t>配下达，</w:t>
      </w:r>
      <w:r>
        <w:t>1—6</w:t>
      </w:r>
      <w:r>
        <w:t>月，市本级部门（单位）预算执行进度</w:t>
      </w:r>
      <w:r>
        <w:t>61.1%</w:t>
      </w:r>
      <w:r>
        <w:t>，快于序时进度</w:t>
      </w:r>
      <w:r>
        <w:t>11.1</w:t>
      </w:r>
      <w:r>
        <w:t>个百分点，较上年高</w:t>
      </w:r>
      <w:r>
        <w:t>7.7</w:t>
      </w:r>
      <w:r>
        <w:t>个百分点。三是围绕提质增效，严格把</w:t>
      </w:r>
      <w:r>
        <w:t>“</w:t>
      </w:r>
      <w:r>
        <w:t>关</w:t>
      </w:r>
      <w:r>
        <w:t>”</w:t>
      </w:r>
      <w:r>
        <w:t>。践行</w:t>
      </w:r>
      <w:r>
        <w:t>“</w:t>
      </w:r>
      <w:r>
        <w:t>只唯实</w:t>
      </w:r>
      <w:r>
        <w:t>”</w:t>
      </w:r>
      <w:r>
        <w:t>的财政评审理念，严把评审质量，</w:t>
      </w:r>
      <w:r>
        <w:t>1—6</w:t>
      </w:r>
      <w:r>
        <w:t>月，市本级完成项目评审</w:t>
      </w:r>
      <w:r>
        <w:t>140</w:t>
      </w:r>
      <w:r>
        <w:t>个，送审金额</w:t>
      </w:r>
      <w:r>
        <w:t>26.68</w:t>
      </w:r>
      <w:r>
        <w:t>亿元，审减金额</w:t>
      </w:r>
      <w:r>
        <w:t>3.7</w:t>
      </w:r>
      <w:r>
        <w:t>亿元。合理确定政府采购需求，加快采购进度，要求新增安排的政府采购预算，须在批准后的</w:t>
      </w:r>
      <w:r>
        <w:t>60</w:t>
      </w:r>
      <w:r>
        <w:t>日内进入采购程序，逾期未执行的收回预算。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聚焦管理增“效”，在“监控</w:t>
      </w:r>
      <w:r>
        <w:t>+</w:t>
      </w:r>
      <w:r>
        <w:t>运用</w:t>
      </w:r>
      <w:r>
        <w:t>”</w:t>
      </w:r>
      <w:r>
        <w:t>上下功夫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针对部分项目存在实施目标偏差、效益不高等问题，认真践行“花钱必问效、无效必问责”的绩效管理理念，不断提高财政资金使用效益。一是“面”字为先，实现全面覆盖。市本级</w:t>
      </w:r>
      <w:r>
        <w:t>280</w:t>
      </w:r>
      <w:r>
        <w:t>个预算单位全部填报部门整体绩效目标，开展部门整体支出、项目支出绩效评价。市、县财政干部、市级部门（单位）财务人员全员按次轮换参与绩效管理，实现</w:t>
      </w:r>
      <w:r>
        <w:t>“</w:t>
      </w:r>
      <w:r>
        <w:t>单位</w:t>
      </w:r>
      <w:r>
        <w:t>+</w:t>
      </w:r>
      <w:r>
        <w:t>项目</w:t>
      </w:r>
      <w:r>
        <w:t>+</w:t>
      </w:r>
      <w:r>
        <w:t>人员</w:t>
      </w:r>
      <w:r>
        <w:t>”</w:t>
      </w:r>
      <w:r>
        <w:t>全覆盖。二是</w:t>
      </w:r>
      <w:r>
        <w:t>“</w:t>
      </w:r>
      <w:r>
        <w:t>严</w:t>
      </w:r>
      <w:r>
        <w:t>”</w:t>
      </w:r>
      <w:r>
        <w:t>字为要，从严审核管控。将绩效目标作为预算安排的前置条件，对不符合绩效目标审核要求的项目一律不安排预算，从源头上深化预算管理，提升资金绩效。落实绩效运行监控，</w:t>
      </w:r>
      <w:r>
        <w:t>1—6</w:t>
      </w:r>
      <w:r>
        <w:t>月，</w:t>
      </w:r>
      <w:r>
        <w:rPr>
          <w:rFonts w:hint="eastAsia"/>
        </w:rPr>
        <w:t>市本级对批复预算的</w:t>
      </w:r>
      <w:r>
        <w:t>1820</w:t>
      </w:r>
      <w:r>
        <w:t>个项目实施绩效动态监控。三是</w:t>
      </w:r>
      <w:r>
        <w:t>“</w:t>
      </w:r>
      <w:r>
        <w:t>效</w:t>
      </w:r>
      <w:r>
        <w:t>”</w:t>
      </w:r>
      <w:r>
        <w:t>字为重，强化结果运用。将重点绩效评价结果作为政策出台实施、项目设立入库及下年度专项资金预算安排的重要参考依据，防止</w:t>
      </w:r>
      <w:r>
        <w:t>“</w:t>
      </w:r>
      <w:r>
        <w:t>拍脑袋决策</w:t>
      </w:r>
      <w:r>
        <w:t>”</w:t>
      </w:r>
      <w:r>
        <w:t>，避免财政事后</w:t>
      </w:r>
      <w:r>
        <w:t>“</w:t>
      </w:r>
      <w:r>
        <w:t>被动买单</w:t>
      </w:r>
      <w:r>
        <w:t>”</w:t>
      </w:r>
      <w:r>
        <w:t>，今年市本级预算编制调减</w:t>
      </w:r>
      <w:r>
        <w:t>6</w:t>
      </w:r>
      <w:r>
        <w:t>个项目预算资金</w:t>
      </w:r>
      <w:r>
        <w:t>1.9</w:t>
      </w:r>
      <w:r>
        <w:t>亿元。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聚焦监督赋“能”，在“督导</w:t>
      </w:r>
      <w:r>
        <w:t>+</w:t>
      </w:r>
      <w:r>
        <w:t>整改</w:t>
      </w:r>
      <w:r>
        <w:t>”</w:t>
      </w:r>
      <w:r>
        <w:t>上出实招</w:t>
      </w:r>
    </w:p>
    <w:p w:rsidR="00983DE0" w:rsidRDefault="00983DE0" w:rsidP="00983DE0">
      <w:pPr>
        <w:ind w:firstLineChars="200" w:firstLine="420"/>
        <w:jc w:val="left"/>
      </w:pPr>
      <w:r>
        <w:rPr>
          <w:rFonts w:hint="eastAsia"/>
        </w:rPr>
        <w:t>针对监督协调机制不够完善、监督力量较薄弱、部门协同不够等问题，坚持问题导向，提升监督合力，严肃财经纪律，全链条织密监督“笼子”，全方位扎紧资金“袋子”。一是协同联动，建好“共同体”。打破部门管理壁垒，建立部门联席共商机制，实行“计划、实施、成果”三个统筹，确保监督不缺位、不脱节、不过度、不留盲区。二是关注重点，厘清“真问题”。扎实开展专项资金申请、分配、支付、使用和管理等各环节全流程监督，结合财会监督专项行动，重点关注政策效果、项目管理、结余资金等方面，查处有令不行、有禁不止等违法违规行为。三是严肃纪律，筑牢“高压线”。建立问题台账，督促抓好整改，通过“两书一函”、调减预算、收回资金等方式提升问责处理威慑力。截至目前，累计发出“两书一函”</w:t>
      </w:r>
      <w:r>
        <w:t>124</w:t>
      </w:r>
      <w:r>
        <w:t>份，收回财政资金</w:t>
      </w:r>
      <w:r>
        <w:t>3.8</w:t>
      </w:r>
      <w:r>
        <w:t>亿元，切实维护财经秩序。</w:t>
      </w:r>
    </w:p>
    <w:p w:rsidR="00983DE0" w:rsidRDefault="00983DE0" w:rsidP="00983DE0">
      <w:pPr>
        <w:ind w:firstLineChars="200" w:firstLine="420"/>
        <w:jc w:val="right"/>
      </w:pPr>
      <w:r>
        <w:rPr>
          <w:rFonts w:hint="eastAsia"/>
        </w:rPr>
        <w:t>《中国财政》</w:t>
      </w:r>
      <w:r>
        <w:t>2023</w:t>
      </w:r>
      <w:r>
        <w:t>年第</w:t>
      </w:r>
      <w:r>
        <w:t>14</w:t>
      </w:r>
      <w:r>
        <w:t>期</w:t>
      </w:r>
    </w:p>
    <w:p w:rsidR="00983DE0" w:rsidRDefault="00983DE0" w:rsidP="00B67E1D">
      <w:pPr>
        <w:sectPr w:rsidR="00983DE0" w:rsidSect="00B67E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1D57" w:rsidRDefault="00D21D57"/>
    <w:sectPr w:rsidR="00D2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DE0"/>
    <w:rsid w:val="00983DE0"/>
    <w:rsid w:val="00D2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3D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83D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2023-08-17T08:34:00Z</dcterms:created>
</cp:coreProperties>
</file>