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71" w:rsidRDefault="005E1B71" w:rsidP="002048BC">
      <w:pPr>
        <w:pStyle w:val="1"/>
      </w:pPr>
      <w:r w:rsidRPr="00E602D2">
        <w:rPr>
          <w:rFonts w:hint="eastAsia"/>
        </w:rPr>
        <w:t>芜湖市财政局关于进一步加强行政事业性国有资产基础管理工作的通知</w:t>
      </w:r>
    </w:p>
    <w:p w:rsidR="005E1B71" w:rsidRDefault="005E1B71" w:rsidP="005E1B71">
      <w:pPr>
        <w:ind w:firstLineChars="200" w:firstLine="420"/>
        <w:jc w:val="left"/>
      </w:pPr>
      <w:r>
        <w:rPr>
          <w:rFonts w:hint="eastAsia"/>
        </w:rPr>
        <w:t>市直各部门：</w:t>
      </w:r>
    </w:p>
    <w:p w:rsidR="005E1B71" w:rsidRDefault="005E1B71" w:rsidP="005E1B71">
      <w:pPr>
        <w:ind w:firstLineChars="200" w:firstLine="420"/>
        <w:jc w:val="left"/>
      </w:pPr>
      <w:r>
        <w:rPr>
          <w:rFonts w:hint="eastAsia"/>
        </w:rPr>
        <w:t>在行政事业单位共同努力下，我市行政事业性国有资产管理工作水平持续提升，行政事业性国有资产报告（以下简称“资产报告”）质量逐年提高。随着今年资产管理系统迁移至预算一体化平台，财政部对年度资产报告编报提出了更高的要求。在今年资产报告编报以及审计、财会监督等检查发现，我市资产管理工作还存在工作基础不够扎实、资产报告与会计核算、部门决算等衔接不够紧密等问题。为夯实工作基础，全面提升行政事业性国有资产数据质量，现就进一步加强行政事业性国有资产基础管理有关事项通知如下：</w:t>
      </w:r>
    </w:p>
    <w:p w:rsidR="005E1B71" w:rsidRDefault="005E1B71" w:rsidP="005E1B71">
      <w:pPr>
        <w:ind w:firstLineChars="200" w:firstLine="420"/>
        <w:jc w:val="left"/>
      </w:pPr>
      <w:r>
        <w:rPr>
          <w:rFonts w:hint="eastAsia"/>
        </w:rPr>
        <w:t>一、全面梳理问题</w:t>
      </w:r>
    </w:p>
    <w:p w:rsidR="005E1B71" w:rsidRDefault="005E1B71" w:rsidP="005E1B71">
      <w:pPr>
        <w:ind w:firstLineChars="200" w:firstLine="420"/>
        <w:jc w:val="left"/>
      </w:pPr>
      <w:r>
        <w:rPr>
          <w:rFonts w:hint="eastAsia"/>
        </w:rPr>
        <w:t>市直各部门组织所属单位结合财务账、资产账、资产卡片信息、资产报告及资产实物情况等，围绕以下</w:t>
      </w:r>
      <w:r>
        <w:t>4</w:t>
      </w:r>
      <w:r>
        <w:t>个方面梳理摸清问题，进一步整改、规范。</w:t>
      </w:r>
    </w:p>
    <w:p w:rsidR="005E1B71" w:rsidRDefault="005E1B71" w:rsidP="005E1B71">
      <w:pPr>
        <w:ind w:firstLineChars="200" w:firstLine="420"/>
        <w:jc w:val="left"/>
      </w:pPr>
      <w:r>
        <w:rPr>
          <w:rFonts w:hint="eastAsia"/>
        </w:rPr>
        <w:t>（一）基础信息管理方面</w:t>
      </w:r>
    </w:p>
    <w:p w:rsidR="005E1B71" w:rsidRDefault="005E1B71" w:rsidP="005E1B71">
      <w:pPr>
        <w:ind w:firstLineChars="200" w:firstLine="420"/>
        <w:jc w:val="left"/>
      </w:pPr>
      <w:r>
        <w:t>1</w:t>
      </w:r>
      <w:r>
        <w:t>．单位部门标识代码、隶属关系、机构行业类型、在职人员工资使用科目</w:t>
      </w:r>
      <w:r>
        <w:t>(</w:t>
      </w:r>
      <w:r>
        <w:t>按归口行业选择科目，如：学校为</w:t>
      </w:r>
      <w:r>
        <w:t>“</w:t>
      </w:r>
      <w:r>
        <w:t>教育支出</w:t>
      </w:r>
      <w:r>
        <w:t>”</w:t>
      </w:r>
      <w:r>
        <w:t>、医院为</w:t>
      </w:r>
      <w:r>
        <w:t>“</w:t>
      </w:r>
      <w:r>
        <w:t>卫生健康支出</w:t>
      </w:r>
      <w:r>
        <w:t>”)</w:t>
      </w:r>
      <w:r>
        <w:t>、单位地址（填列全称，如：安徽省芜湖市鸠江区政通路</w:t>
      </w:r>
      <w:r>
        <w:t>66</w:t>
      </w:r>
      <w:r>
        <w:t>号政务文化中心）等基础信息是否精准；</w:t>
      </w:r>
    </w:p>
    <w:p w:rsidR="005E1B71" w:rsidRDefault="005E1B71" w:rsidP="005E1B71">
      <w:pPr>
        <w:ind w:firstLineChars="200" w:firstLine="420"/>
        <w:jc w:val="left"/>
      </w:pPr>
      <w:r>
        <w:t>2</w:t>
      </w:r>
      <w:r>
        <w:t>．机构、人员、公务用车编制等信息是否准确；</w:t>
      </w:r>
    </w:p>
    <w:p w:rsidR="005E1B71" w:rsidRDefault="005E1B71" w:rsidP="005E1B71">
      <w:pPr>
        <w:ind w:firstLineChars="200" w:firstLine="420"/>
        <w:jc w:val="left"/>
      </w:pPr>
      <w:r>
        <w:t>3</w:t>
      </w:r>
      <w:r>
        <w:t>．房屋的位置、用途（办公用房、业务用房等）、状态（在用、出租、出借、闲置、待处置等）、建筑面积、占地面积、权属性质、权属证明、权属证号、权属人等信息是否完善；</w:t>
      </w:r>
    </w:p>
    <w:p w:rsidR="005E1B71" w:rsidRDefault="005E1B71" w:rsidP="005E1B71">
      <w:pPr>
        <w:ind w:firstLineChars="200" w:firstLine="420"/>
        <w:jc w:val="left"/>
      </w:pPr>
      <w:r>
        <w:t>4</w:t>
      </w:r>
      <w:r>
        <w:t>．土地使用权的位置、状态（在用、出租、出借、闲置、待处置等）、权属性质、权属证明、权属证号、权属人等信息是否完备；</w:t>
      </w:r>
    </w:p>
    <w:p w:rsidR="005E1B71" w:rsidRDefault="005E1B71" w:rsidP="005E1B71">
      <w:pPr>
        <w:ind w:firstLineChars="200" w:firstLine="420"/>
        <w:jc w:val="left"/>
      </w:pPr>
      <w:r>
        <w:t>5</w:t>
      </w:r>
      <w:r>
        <w:t>．车辆的用途（机要通信用车、执法执勤用车等）、状态（在用、闲置、待处置）、车牌号、排气量、分类（非机动车辆错误登记）等信息是否完备准确；</w:t>
      </w:r>
    </w:p>
    <w:p w:rsidR="005E1B71" w:rsidRDefault="005E1B71" w:rsidP="005E1B71">
      <w:pPr>
        <w:ind w:firstLineChars="200" w:firstLine="420"/>
        <w:jc w:val="left"/>
      </w:pPr>
      <w:r>
        <w:t>6</w:t>
      </w:r>
      <w:r>
        <w:t>．大型仪器设备</w:t>
      </w:r>
      <w:r>
        <w:t>30</w:t>
      </w:r>
      <w:r>
        <w:t>万元以上是否标识共享共用；</w:t>
      </w:r>
    </w:p>
    <w:p w:rsidR="005E1B71" w:rsidRDefault="005E1B71" w:rsidP="005E1B71">
      <w:pPr>
        <w:ind w:firstLineChars="200" w:firstLine="420"/>
        <w:jc w:val="left"/>
      </w:pPr>
      <w:r>
        <w:t>7</w:t>
      </w:r>
      <w:r>
        <w:t>．是否存在临时机构、非独立编制机构、非独立核算机构、</w:t>
      </w:r>
      <w:r>
        <w:t>“</w:t>
      </w:r>
      <w:r>
        <w:t>虚拟</w:t>
      </w:r>
      <w:r>
        <w:t>”</w:t>
      </w:r>
      <w:r>
        <w:t>机构等单独登记资产账、填报资产报告等情况。</w:t>
      </w:r>
    </w:p>
    <w:p w:rsidR="005E1B71" w:rsidRDefault="005E1B71" w:rsidP="005E1B71">
      <w:pPr>
        <w:ind w:firstLineChars="200" w:firstLine="420"/>
        <w:jc w:val="left"/>
      </w:pPr>
      <w:r>
        <w:rPr>
          <w:rFonts w:hint="eastAsia"/>
        </w:rPr>
        <w:t>（二）会计核算方面</w:t>
      </w:r>
    </w:p>
    <w:p w:rsidR="005E1B71" w:rsidRDefault="005E1B71" w:rsidP="005E1B71">
      <w:pPr>
        <w:ind w:firstLineChars="200" w:firstLine="420"/>
        <w:jc w:val="left"/>
      </w:pPr>
      <w:r>
        <w:t>1</w:t>
      </w:r>
      <w:r>
        <w:t>．权益法调整、财政应返还额度、应收账款净额、应收股利、应收利息、存货、待处理财产损溢等科目使用是否规范；</w:t>
      </w:r>
    </w:p>
    <w:p w:rsidR="005E1B71" w:rsidRDefault="005E1B71" w:rsidP="005E1B71">
      <w:pPr>
        <w:ind w:firstLineChars="200" w:firstLine="420"/>
        <w:jc w:val="left"/>
      </w:pPr>
      <w:r>
        <w:t>2</w:t>
      </w:r>
      <w:r>
        <w:t>．资产分类是否正确：是否将设备、构筑物等录入房屋</w:t>
      </w:r>
      <w:r>
        <w:t>;</w:t>
      </w:r>
      <w:r>
        <w:t>是否将无形资产、公共基础设施误录入固定资产。</w:t>
      </w:r>
    </w:p>
    <w:p w:rsidR="005E1B71" w:rsidRDefault="005E1B71" w:rsidP="005E1B71">
      <w:pPr>
        <w:ind w:firstLineChars="200" w:firstLine="420"/>
        <w:jc w:val="left"/>
      </w:pPr>
      <w:r>
        <w:t>3</w:t>
      </w:r>
      <w:r>
        <w:t>．是否存在固定资产、公共基础设施、文物文化资产等以名义价值</w:t>
      </w:r>
      <w:r>
        <w:t>1</w:t>
      </w:r>
      <w:r>
        <w:t>元入账或</w:t>
      </w:r>
      <w:r>
        <w:t>1</w:t>
      </w:r>
      <w:r>
        <w:t>平方米入账；</w:t>
      </w:r>
    </w:p>
    <w:p w:rsidR="005E1B71" w:rsidRDefault="005E1B71" w:rsidP="005E1B71">
      <w:pPr>
        <w:ind w:firstLineChars="200" w:firstLine="420"/>
        <w:jc w:val="left"/>
      </w:pPr>
      <w:r>
        <w:t>4</w:t>
      </w:r>
      <w:r>
        <w:t>．对外投资核算方法是否正确（成本法、权益法的选择）、分类是否规范（如债券投资误列入长期股权投资等）；</w:t>
      </w:r>
    </w:p>
    <w:p w:rsidR="005E1B71" w:rsidRDefault="005E1B71" w:rsidP="005E1B71">
      <w:pPr>
        <w:ind w:firstLineChars="200" w:firstLine="420"/>
        <w:jc w:val="left"/>
      </w:pPr>
      <w:r>
        <w:t>5</w:t>
      </w:r>
      <w:r>
        <w:t>．已交付并投入使用的在建工程是否及时转为固定资产、公共基础设施等；</w:t>
      </w:r>
    </w:p>
    <w:p w:rsidR="005E1B71" w:rsidRDefault="005E1B71" w:rsidP="005E1B71">
      <w:pPr>
        <w:ind w:firstLineChars="200" w:firstLine="420"/>
        <w:jc w:val="left"/>
      </w:pPr>
      <w:r>
        <w:t>6</w:t>
      </w:r>
      <w:r>
        <w:t>．是否存在公共基础设施类资产未计入财务账、未登记资产卡片；</w:t>
      </w:r>
    </w:p>
    <w:p w:rsidR="005E1B71" w:rsidRDefault="005E1B71" w:rsidP="005E1B71">
      <w:pPr>
        <w:ind w:firstLineChars="200" w:firstLine="420"/>
        <w:jc w:val="left"/>
      </w:pPr>
      <w:r>
        <w:t>7</w:t>
      </w:r>
      <w:r>
        <w:t>．是否存在会计核算账套管理不统一、基建专项账未并入单位会计账套核算等情况。</w:t>
      </w:r>
    </w:p>
    <w:p w:rsidR="005E1B71" w:rsidRDefault="005E1B71" w:rsidP="005E1B71">
      <w:pPr>
        <w:ind w:firstLineChars="200" w:firstLine="420"/>
        <w:jc w:val="left"/>
      </w:pPr>
      <w:r>
        <w:rPr>
          <w:rFonts w:hint="eastAsia"/>
        </w:rPr>
        <w:t>（三）资产管理与财务管理衔接方面</w:t>
      </w:r>
    </w:p>
    <w:p w:rsidR="005E1B71" w:rsidRDefault="005E1B71" w:rsidP="005E1B71">
      <w:pPr>
        <w:ind w:firstLineChars="200" w:firstLine="420"/>
        <w:jc w:val="left"/>
      </w:pPr>
      <w:r>
        <w:t>1</w:t>
      </w:r>
      <w:r>
        <w:t>．资产账与财务账主体是否统一（如：几个单位会计核算合并进行但资产管理各自独立；几个单位会计核算独立但资产管理合并进行）；</w:t>
      </w:r>
    </w:p>
    <w:p w:rsidR="005E1B71" w:rsidRDefault="005E1B71" w:rsidP="005E1B71">
      <w:pPr>
        <w:ind w:firstLineChars="200" w:firstLine="420"/>
        <w:jc w:val="left"/>
      </w:pPr>
      <w:r>
        <w:t>2</w:t>
      </w:r>
      <w:r>
        <w:t>．资产报告与部门决算、政府部门财务报告等编制主体是否一致；</w:t>
      </w:r>
    </w:p>
    <w:p w:rsidR="005E1B71" w:rsidRDefault="005E1B71" w:rsidP="005E1B71">
      <w:pPr>
        <w:ind w:firstLineChars="200" w:firstLine="420"/>
        <w:jc w:val="left"/>
      </w:pPr>
      <w:r>
        <w:t>3</w:t>
      </w:r>
      <w:r>
        <w:t>．资产（年报、月报等）与财务、部门决算、政府部门财务报告等同口径数据信息等是否衔接等。</w:t>
      </w:r>
    </w:p>
    <w:p w:rsidR="005E1B71" w:rsidRDefault="005E1B71" w:rsidP="005E1B71">
      <w:pPr>
        <w:ind w:firstLineChars="200" w:firstLine="420"/>
        <w:jc w:val="left"/>
      </w:pPr>
      <w:r>
        <w:rPr>
          <w:rFonts w:hint="eastAsia"/>
        </w:rPr>
        <w:t>（四）资产日常管理方面</w:t>
      </w:r>
    </w:p>
    <w:p w:rsidR="005E1B71" w:rsidRDefault="005E1B71" w:rsidP="005E1B71">
      <w:pPr>
        <w:ind w:firstLineChars="200" w:firstLine="420"/>
        <w:jc w:val="left"/>
      </w:pPr>
      <w:r>
        <w:t>1</w:t>
      </w:r>
      <w:r>
        <w:t>．是否存在国有资产出租、处置未按规定履行审批程序；</w:t>
      </w:r>
    </w:p>
    <w:p w:rsidR="005E1B71" w:rsidRDefault="005E1B71" w:rsidP="005E1B71">
      <w:pPr>
        <w:ind w:firstLineChars="200" w:firstLine="420"/>
        <w:jc w:val="left"/>
      </w:pPr>
      <w:r>
        <w:t>2</w:t>
      </w:r>
      <w:r>
        <w:t>．资产使用、处置等方式是否规范（如：存在报废土地使用权）；</w:t>
      </w:r>
    </w:p>
    <w:p w:rsidR="005E1B71" w:rsidRDefault="005E1B71" w:rsidP="005E1B71">
      <w:pPr>
        <w:ind w:firstLineChars="200" w:firstLine="420"/>
        <w:jc w:val="left"/>
      </w:pPr>
      <w:r>
        <w:t>3</w:t>
      </w:r>
      <w:r>
        <w:t>．资产收入管理是否规范等（如：将其他收入缴入行政事业单位资产出租、处置收入科目等，取得资产出租、处置等收入后是否及时缴入非税账户）；</w:t>
      </w:r>
    </w:p>
    <w:p w:rsidR="005E1B71" w:rsidRDefault="005E1B71" w:rsidP="005E1B71">
      <w:pPr>
        <w:ind w:firstLineChars="200" w:firstLine="420"/>
        <w:jc w:val="left"/>
      </w:pPr>
      <w:r>
        <w:t>4</w:t>
      </w:r>
      <w:r>
        <w:t>．待处置（待报废、毁损等）</w:t>
      </w:r>
      <w:r>
        <w:t xml:space="preserve"> </w:t>
      </w:r>
      <w:r>
        <w:t>资产未处理，盘亏的资产、对外投资形成的损失等未及时核销等；</w:t>
      </w:r>
    </w:p>
    <w:p w:rsidR="005E1B71" w:rsidRDefault="005E1B71" w:rsidP="005E1B71">
      <w:pPr>
        <w:ind w:firstLineChars="200" w:firstLine="420"/>
        <w:jc w:val="left"/>
      </w:pPr>
      <w:r>
        <w:t>5</w:t>
      </w:r>
      <w:r>
        <w:t>．公共基础设施（交通、水利、市政、其他）、保障性住房（市本级应没有，产权登记在平台公司）、政府储备物资、文物文化资产等管理维护职责、数量等是否清晰准确，是否及时准确登记财务账、资产账。</w:t>
      </w:r>
    </w:p>
    <w:p w:rsidR="005E1B71" w:rsidRDefault="005E1B71" w:rsidP="005E1B71">
      <w:pPr>
        <w:ind w:firstLineChars="200" w:firstLine="420"/>
        <w:jc w:val="left"/>
      </w:pPr>
      <w:r>
        <w:rPr>
          <w:rFonts w:hint="eastAsia"/>
        </w:rPr>
        <w:t>二、有序清理规范</w:t>
      </w:r>
    </w:p>
    <w:p w:rsidR="005E1B71" w:rsidRDefault="005E1B71" w:rsidP="005E1B71">
      <w:pPr>
        <w:ind w:firstLineChars="200" w:firstLine="420"/>
        <w:jc w:val="left"/>
      </w:pPr>
      <w:r>
        <w:rPr>
          <w:rFonts w:hint="eastAsia"/>
        </w:rPr>
        <w:t>市直各部门要督促本部门所属单位吃准吃透资产、财务等相关政策规定，对梳理出来的问题确保</w:t>
      </w:r>
      <w:r>
        <w:t>10</w:t>
      </w:r>
      <w:r>
        <w:t>月底前见底清零，切实抓好问题解决，夯实资产管理基础。</w:t>
      </w:r>
    </w:p>
    <w:p w:rsidR="005E1B71" w:rsidRDefault="005E1B71" w:rsidP="005E1B71">
      <w:pPr>
        <w:ind w:firstLineChars="200" w:firstLine="420"/>
        <w:jc w:val="left"/>
      </w:pPr>
      <w:r>
        <w:rPr>
          <w:rFonts w:hint="eastAsia"/>
        </w:rPr>
        <w:t>（一）抓紧解决问题</w:t>
      </w:r>
    </w:p>
    <w:p w:rsidR="005E1B71" w:rsidRDefault="005E1B71" w:rsidP="005E1B71">
      <w:pPr>
        <w:ind w:firstLineChars="200" w:firstLine="420"/>
        <w:jc w:val="left"/>
      </w:pPr>
      <w:r>
        <w:rPr>
          <w:rFonts w:hint="eastAsia"/>
        </w:rPr>
        <w:t>严格执行政府会计准则制度、资产管理、非税收入管理等相关制度，立行立改推动问题整改到位，做到账账相符、账卡相符、账表相符、账实相符。</w:t>
      </w:r>
    </w:p>
    <w:p w:rsidR="005E1B71" w:rsidRDefault="005E1B71" w:rsidP="005E1B71">
      <w:pPr>
        <w:ind w:firstLineChars="200" w:firstLine="420"/>
        <w:jc w:val="left"/>
      </w:pPr>
      <w:r>
        <w:rPr>
          <w:rFonts w:hint="eastAsia"/>
        </w:rPr>
        <w:t>（二）建立长效机制</w:t>
      </w:r>
    </w:p>
    <w:p w:rsidR="005E1B71" w:rsidRDefault="005E1B71" w:rsidP="005E1B71">
      <w:pPr>
        <w:ind w:firstLineChars="200" w:firstLine="420"/>
        <w:jc w:val="left"/>
      </w:pPr>
      <w:r>
        <w:rPr>
          <w:rFonts w:hint="eastAsia"/>
        </w:rPr>
        <w:t>以今年清查核实工作为契机，建立健全单位资产管理内部控制机制及相关管理制度，落实资产盘点要求，规范资产核算入账、登记管理、权属管理等，及时处理资产盘盈、盘亏、长期挂账等事项。</w:t>
      </w:r>
    </w:p>
    <w:p w:rsidR="005E1B71" w:rsidRDefault="005E1B71" w:rsidP="005E1B71">
      <w:pPr>
        <w:ind w:firstLineChars="200" w:firstLine="420"/>
        <w:jc w:val="left"/>
      </w:pPr>
      <w:r>
        <w:rPr>
          <w:rFonts w:hint="eastAsia"/>
        </w:rPr>
        <w:t>（三）加强监督协调</w:t>
      </w:r>
    </w:p>
    <w:p w:rsidR="005E1B71" w:rsidRDefault="005E1B71" w:rsidP="005E1B71">
      <w:pPr>
        <w:ind w:firstLineChars="200" w:firstLine="420"/>
        <w:jc w:val="left"/>
      </w:pPr>
      <w:r>
        <w:rPr>
          <w:rFonts w:hint="eastAsia"/>
        </w:rPr>
        <w:t>加强资产、财务等部门有机融合，紧密衔接业务流程，实现资产与会计核算数据的衔接一致。主管部门加强日常监督、定期检查等，进一步提升资产管理质效。</w:t>
      </w:r>
    </w:p>
    <w:p w:rsidR="005E1B71" w:rsidRDefault="005E1B71" w:rsidP="005E1B71">
      <w:pPr>
        <w:ind w:firstLineChars="200" w:firstLine="420"/>
        <w:jc w:val="left"/>
      </w:pPr>
      <w:r>
        <w:rPr>
          <w:rFonts w:hint="eastAsia"/>
        </w:rPr>
        <w:t>三、落实工作责任</w:t>
      </w:r>
    </w:p>
    <w:p w:rsidR="005E1B71" w:rsidRDefault="005E1B71" w:rsidP="005E1B71">
      <w:pPr>
        <w:ind w:firstLineChars="200" w:firstLine="420"/>
        <w:jc w:val="left"/>
      </w:pPr>
      <w:r>
        <w:rPr>
          <w:rFonts w:hint="eastAsia"/>
        </w:rPr>
        <w:t>（一）落实各部门监管责任，督促所属单位将问题清理整改到位；同时加强动态监测，做到问题早发现、早解决、不反弹。</w:t>
      </w:r>
    </w:p>
    <w:p w:rsidR="005E1B71" w:rsidRDefault="005E1B71" w:rsidP="005E1B71">
      <w:pPr>
        <w:ind w:firstLineChars="200" w:firstLine="420"/>
        <w:jc w:val="left"/>
      </w:pPr>
      <w:r>
        <w:rPr>
          <w:rFonts w:hint="eastAsia"/>
        </w:rPr>
        <w:t>（二）落实各单位主体责任，组织资产、财务等相关人员围绕上述问题进行全面梳理，推动资产管理规范有序，经得起财政、审计、巡视巡察等各方面监督检查。</w:t>
      </w:r>
    </w:p>
    <w:p w:rsidR="005E1B71" w:rsidRDefault="005E1B71" w:rsidP="005E1B71">
      <w:pPr>
        <w:ind w:firstLineChars="200" w:firstLine="420"/>
        <w:jc w:val="right"/>
      </w:pPr>
      <w:r>
        <w:t>芜湖市财政局</w:t>
      </w:r>
      <w:r>
        <w:rPr>
          <w:rFonts w:hint="eastAsia"/>
        </w:rPr>
        <w:t>2023-08-17</w:t>
      </w:r>
    </w:p>
    <w:p w:rsidR="005E1B71" w:rsidRDefault="005E1B71" w:rsidP="00F844CF">
      <w:pPr>
        <w:sectPr w:rsidR="005E1B71" w:rsidSect="00F844CF">
          <w:type w:val="continuous"/>
          <w:pgSz w:w="11906" w:h="16838"/>
          <w:pgMar w:top="1644" w:right="1236" w:bottom="1418" w:left="1814" w:header="851" w:footer="907" w:gutter="0"/>
          <w:pgNumType w:start="1"/>
          <w:cols w:space="720"/>
          <w:docGrid w:type="lines" w:linePitch="341" w:charSpace="2373"/>
        </w:sectPr>
      </w:pPr>
    </w:p>
    <w:p w:rsidR="005D4EAA" w:rsidRDefault="005D4EAA"/>
    <w:sectPr w:rsidR="005D4E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B71"/>
    <w:rsid w:val="005D4EAA"/>
    <w:rsid w:val="005E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1B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E1B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2023-08-24T09:02:00Z</dcterms:created>
</cp:coreProperties>
</file>