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24D2" w:rsidRDefault="009724D2" w:rsidP="00BC4219">
      <w:pPr>
        <w:pStyle w:val="1"/>
      </w:pPr>
      <w:r w:rsidRPr="008C1637">
        <w:rPr>
          <w:rFonts w:hint="eastAsia"/>
        </w:rPr>
        <w:t>株洲经开区财政局：政府采购多维发力，助力民营经济发展</w:t>
      </w:r>
    </w:p>
    <w:p w:rsidR="009724D2" w:rsidRDefault="009724D2" w:rsidP="009724D2">
      <w:pPr>
        <w:ind w:firstLineChars="200" w:firstLine="420"/>
        <w:jc w:val="left"/>
      </w:pPr>
      <w:r>
        <w:rPr>
          <w:rFonts w:hint="eastAsia"/>
        </w:rPr>
        <w:t>近年来，株洲经开区财政局坚持深化改革促发展，以惠企、便企、利企为导向，在增份额、降成本、畅融资、快支付、破壁垒、增诚信等方面持续发力，充分发挥政府政策功能，提高采购效率，提升采购透明度，不断激发政府采购市场活力，助力民营经济发展。</w:t>
      </w:r>
    </w:p>
    <w:p w:rsidR="009724D2" w:rsidRDefault="009724D2" w:rsidP="009724D2">
      <w:pPr>
        <w:ind w:firstLineChars="200" w:firstLine="420"/>
        <w:jc w:val="left"/>
      </w:pPr>
      <w:r>
        <w:rPr>
          <w:rFonts w:hint="eastAsia"/>
        </w:rPr>
        <w:t>一、落实支持措施。一方面，通过政府采购预留份额、评审优惠等优先采购措施，大力支持中小企业发展。从</w:t>
      </w:r>
      <w:r>
        <w:t>2022</w:t>
      </w:r>
      <w:r>
        <w:t>年下半年起，预留</w:t>
      </w:r>
      <w:r>
        <w:t>40%</w:t>
      </w:r>
      <w:r>
        <w:t>以上的采购份额专门面向中小企业，给予小微企业</w:t>
      </w:r>
      <w:r>
        <w:t>10%</w:t>
      </w:r>
      <w:r>
        <w:t>～</w:t>
      </w:r>
      <w:r>
        <w:t>20%</w:t>
      </w:r>
      <w:r>
        <w:t>的价格扣除优惠加分。近两年以来，自加大政策支持力度以来，中小企业获得</w:t>
      </w:r>
      <w:r>
        <w:t>3.62</w:t>
      </w:r>
      <w:r>
        <w:t>亿元的合同，在全部合同份额中占比</w:t>
      </w:r>
      <w:r>
        <w:t>95%</w:t>
      </w:r>
      <w:r>
        <w:t>，比政策实施前增加</w:t>
      </w:r>
      <w:r>
        <w:t>5</w:t>
      </w:r>
      <w:r>
        <w:t>个百分点，对于激发中小企业活力起到积极作用。另一方面，推进政府采购支持乡村振兴。通过</w:t>
      </w:r>
      <w:r>
        <w:t>“832”</w:t>
      </w:r>
      <w:r>
        <w:t>平台、</w:t>
      </w:r>
      <w:r>
        <w:t>“</w:t>
      </w:r>
      <w:r>
        <w:t>乡村振兴馆</w:t>
      </w:r>
      <w:r>
        <w:t>”</w:t>
      </w:r>
      <w:r>
        <w:t>等平台预留采购脱贫地区农副产品份额，近两年，全区预留采购份额</w:t>
      </w:r>
      <w:r>
        <w:t>69.42</w:t>
      </w:r>
      <w:r>
        <w:t>万元，完成</w:t>
      </w:r>
      <w:r>
        <w:rPr>
          <w:rFonts w:hint="eastAsia"/>
        </w:rPr>
        <w:t>交易总额</w:t>
      </w:r>
      <w:r>
        <w:t>101.46</w:t>
      </w:r>
      <w:r>
        <w:t>万元，完成比例达</w:t>
      </w:r>
      <w:r>
        <w:t>146%</w:t>
      </w:r>
      <w:r>
        <w:t>。</w:t>
      </w:r>
    </w:p>
    <w:p w:rsidR="009724D2" w:rsidRDefault="009724D2" w:rsidP="009724D2">
      <w:pPr>
        <w:ind w:firstLineChars="200" w:firstLine="420"/>
        <w:jc w:val="left"/>
      </w:pPr>
      <w:r>
        <w:rPr>
          <w:rFonts w:hint="eastAsia"/>
        </w:rPr>
        <w:t>二、降低交易成本。一方面，鼓励采购人、代理机构以电子采购文件替代纸质采购文件免费提供采购文件。鼓励采购人、采购代理机构取消投标（响应）保证金，确需收取履约保证金的，允许中小企业供应商自主选择以支票、汇票、本票、保函等非现金形式缴纳或提交，减轻企业的资金压力。另一方面，推行政府采购公开招标领域“不见面开标”，取消政府采购文件工本费、政府采购公共资源交易平台服务费，分散采购项目专家评审费、采购代理费改由采购人支付。仅此一项，经开区预计平均每年将降低企业采购交易成本</w:t>
      </w:r>
      <w:r>
        <w:t>200</w:t>
      </w:r>
      <w:r>
        <w:t>万元以上。</w:t>
      </w:r>
    </w:p>
    <w:p w:rsidR="009724D2" w:rsidRDefault="009724D2" w:rsidP="009724D2">
      <w:pPr>
        <w:ind w:firstLineChars="200" w:firstLine="420"/>
        <w:jc w:val="left"/>
      </w:pPr>
      <w:r>
        <w:rPr>
          <w:rFonts w:hint="eastAsia"/>
        </w:rPr>
        <w:t>三、畅通融资渠道。进一步挖掘政府采购合同信用价值，联合湖南银行、长沙银行、建设银行等各大金融机构，在线上线下同步推广“政采贷”，依托政府采购合同、信用评估，即可获得无额外担保、快审批、低利率的信用贷款。同时，强化政采政策与金融政策的协同，多次组织开展“政金企”融资对接会，对辖区民营企业重点推介政采贷、知识价值信用贷、科技贷等产品，并给予中小微企业贷款贴息扶持，有效缓解政府采购中小微企业融资难题。近两年，经开区累计拨付贴息资金</w:t>
      </w:r>
      <w:r>
        <w:t>148</w:t>
      </w:r>
      <w:r>
        <w:t>万元，</w:t>
      </w:r>
      <w:r>
        <w:t>35</w:t>
      </w:r>
      <w:r>
        <w:t>家企业受惠。</w:t>
      </w:r>
      <w:r>
        <w:t>2022</w:t>
      </w:r>
      <w:r>
        <w:t>年，帮助政府采购供应商获得政采贷融资</w:t>
      </w:r>
      <w:r>
        <w:t>383</w:t>
      </w:r>
      <w:r>
        <w:t>万元。</w:t>
      </w:r>
      <w:r>
        <w:rPr>
          <w:rFonts w:hint="eastAsia"/>
        </w:rPr>
        <w:t>今年上半年，组织银企对接活动</w:t>
      </w:r>
      <w:r>
        <w:t>3</w:t>
      </w:r>
      <w:r>
        <w:t>场、大型</w:t>
      </w:r>
      <w:r>
        <w:t>“</w:t>
      </w:r>
      <w:r>
        <w:t>政金企</w:t>
      </w:r>
      <w:r>
        <w:t>”</w:t>
      </w:r>
      <w:r>
        <w:t>融资对接会</w:t>
      </w:r>
      <w:r>
        <w:t>1</w:t>
      </w:r>
      <w:r>
        <w:t>场，帮助企业实际融资到位</w:t>
      </w:r>
      <w:r>
        <w:t>1.6</w:t>
      </w:r>
      <w:r>
        <w:t>亿元。</w:t>
      </w:r>
    </w:p>
    <w:p w:rsidR="009724D2" w:rsidRDefault="009724D2" w:rsidP="009724D2">
      <w:pPr>
        <w:ind w:firstLineChars="200" w:firstLine="420"/>
        <w:jc w:val="left"/>
      </w:pPr>
      <w:r>
        <w:rPr>
          <w:rFonts w:hint="eastAsia"/>
        </w:rPr>
        <w:t>四、加快资金支付。督促采购单位加快政府采购资金支付进度，要求满足合同支付条件的项目应在收到发票后</w:t>
      </w:r>
      <w:r>
        <w:t>30</w:t>
      </w:r>
      <w:r>
        <w:t>日内支付，不得以人员机构变动、履行内部付款审批程序等为由拖欠或延迟付款。推行政府采购预付款制度，约定预付款比例不得低于合同金额的</w:t>
      </w:r>
      <w:r>
        <w:t>30%</w:t>
      </w:r>
      <w:r>
        <w:t>，中小微企业合同预付款比例可提高至</w:t>
      </w:r>
      <w:r>
        <w:t>50%</w:t>
      </w:r>
      <w:r>
        <w:t>，实实在在地减轻民营企业的现金流压力。同时，进一步完善拖欠账款常态化预防和清理机制，通过建立定期开展政府采购项目合同资金逾期未支付的专项清理和回访制度，加强政府采购</w:t>
      </w:r>
      <w:r>
        <w:t>“</w:t>
      </w:r>
      <w:r>
        <w:t>事中、事后</w:t>
      </w:r>
      <w:r>
        <w:t>”</w:t>
      </w:r>
      <w:r>
        <w:t>监管，强化采购人履约责任，切实保障供应商合法权益。</w:t>
      </w:r>
    </w:p>
    <w:p w:rsidR="009724D2" w:rsidRDefault="009724D2" w:rsidP="009724D2">
      <w:pPr>
        <w:ind w:firstLineChars="200" w:firstLine="420"/>
        <w:jc w:val="left"/>
      </w:pPr>
      <w:r>
        <w:rPr>
          <w:rFonts w:hint="eastAsia"/>
        </w:rPr>
        <w:t>五、破除市场壁垒。一方面，对照公平竞争审查标准，对政府采购领域妨碍统一市场和公平竞争的规定和做法进行清理。全面清理政府采购备选库、名录库、资格库，破除各种不合理门槛和限制，依法保障了各类市场主体平等参与政府采购活动的权利。另一方面，推行资格材料承诺制，进一步降低政府采购市场准入门槛。供应商按要求提供《湖南省政府采购供应商资格承诺函》的，参与政府采购活动和电子卖场交易，无需提供财务状况、缴纳税收和社会保障资金等资格证明材料。同时，自</w:t>
      </w:r>
      <w:r>
        <w:t>2022</w:t>
      </w:r>
      <w:r>
        <w:t>年起，全面推行政府采购意向公开，规定未开展意向公开工作的采购计划不予备</w:t>
      </w:r>
      <w:r>
        <w:rPr>
          <w:rFonts w:hint="eastAsia"/>
        </w:rPr>
        <w:t>案，确保市场主体及时全面了解政府采购动向。</w:t>
      </w:r>
    </w:p>
    <w:p w:rsidR="009724D2" w:rsidRDefault="009724D2" w:rsidP="009724D2">
      <w:pPr>
        <w:ind w:firstLineChars="200" w:firstLine="420"/>
        <w:jc w:val="left"/>
      </w:pPr>
      <w:r>
        <w:rPr>
          <w:rFonts w:hint="eastAsia"/>
        </w:rPr>
        <w:t>六、健全信用机制。把诚实信用作为参与政府采购活动的基本要求，对参与政府采购活动的供应商、采购代理机构及评审专家进行守信激励、失信约束。一方面，把参与政府采购活动的供应商信用信息查询列入评标必经程序。对列入失信被执行人、重大税收违法案件当事人名单、政府采购严重违法失信行为记录名单供应商拒绝其参与政府采购活动。另一方面，通过对政府采购评审专家和采购代理机构进行履职评价，进一步强化代理机构和评审专家履职，对排名位于后</w:t>
      </w:r>
      <w:r>
        <w:t>1/3</w:t>
      </w:r>
      <w:r>
        <w:t>的评审专家，将其抽取概率降低</w:t>
      </w:r>
      <w:r>
        <w:t>50%</w:t>
      </w:r>
      <w:r>
        <w:t>，采购代理机构累计接受评价的次数和累计平均得分在中国湖南政</w:t>
      </w:r>
      <w:r>
        <w:rPr>
          <w:rFonts w:hint="eastAsia"/>
        </w:rPr>
        <w:t>府采购网公开，供采购人在选取采购代理机构时参考。</w:t>
      </w:r>
    </w:p>
    <w:p w:rsidR="009724D2" w:rsidRDefault="009724D2" w:rsidP="009724D2">
      <w:pPr>
        <w:ind w:firstLineChars="200" w:firstLine="420"/>
        <w:jc w:val="right"/>
      </w:pPr>
      <w:r w:rsidRPr="008C1637">
        <w:rPr>
          <w:rFonts w:hint="eastAsia"/>
        </w:rPr>
        <w:t>株洲经开区财政局</w:t>
      </w:r>
      <w:r>
        <w:rPr>
          <w:rFonts w:hint="eastAsia"/>
        </w:rPr>
        <w:t>2023-07-28</w:t>
      </w:r>
    </w:p>
    <w:p w:rsidR="009724D2" w:rsidRDefault="009724D2" w:rsidP="00B67E1D">
      <w:pPr>
        <w:sectPr w:rsidR="009724D2" w:rsidSect="00B67E1D">
          <w:type w:val="continuous"/>
          <w:pgSz w:w="11906" w:h="16838"/>
          <w:pgMar w:top="1644" w:right="1236" w:bottom="1418" w:left="1814" w:header="851" w:footer="907" w:gutter="0"/>
          <w:pgNumType w:start="1"/>
          <w:cols w:space="720"/>
          <w:docGrid w:type="lines" w:linePitch="341" w:charSpace="2373"/>
        </w:sectPr>
      </w:pPr>
    </w:p>
    <w:p w:rsidR="00545166" w:rsidRDefault="00545166"/>
    <w:sectPr w:rsidR="0054516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724D2"/>
    <w:rsid w:val="00545166"/>
    <w:rsid w:val="009724D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724D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9724D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268</Words>
  <Characters>1533</Characters>
  <Application>Microsoft Office Word</Application>
  <DocSecurity>0</DocSecurity>
  <Lines>12</Lines>
  <Paragraphs>3</Paragraphs>
  <ScaleCrop>false</ScaleCrop>
  <Company>Microsoft</Company>
  <LinksUpToDate>false</LinksUpToDate>
  <CharactersWithSpaces>1798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2023-08-17T08:34:00Z</dcterms:created>
</cp:coreProperties>
</file>