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366D" w:rsidRDefault="00CC366D" w:rsidP="002048BC">
      <w:pPr>
        <w:pStyle w:val="1"/>
      </w:pPr>
      <w:r w:rsidRPr="009C1956">
        <w:rPr>
          <w:rFonts w:hint="eastAsia"/>
        </w:rPr>
        <w:t>推动健全具有嘉兴特色的现代财会监督体系</w:t>
      </w:r>
    </w:p>
    <w:p w:rsidR="00CC366D" w:rsidRDefault="00CC366D" w:rsidP="00CC366D">
      <w:pPr>
        <w:ind w:firstLineChars="200" w:firstLine="420"/>
        <w:jc w:val="left"/>
      </w:pPr>
      <w:r>
        <w:rPr>
          <w:rFonts w:hint="eastAsia"/>
        </w:rPr>
        <w:t>习近平总书记多次强调，要完善党和国家监督体系，推动包括财会监督在内的各类监督有机贯通、相互协调。今年</w:t>
      </w:r>
      <w:r>
        <w:t>2</w:t>
      </w:r>
      <w:r>
        <w:t>月，中办、国办印发《关于进一步加强财会监督工作的意见》（以下简称《意见》），从顶层设计的高度，形成了做好新时代财会监督工作的纲领性文件和行动指南。《意见》强调，财政部门在分配资金、资源之外，也要积极履行财会监督主责。根据财政部、浙江省财政厅统一部署，嘉兴市财政局启动全市</w:t>
      </w:r>
      <w:r>
        <w:t>“</w:t>
      </w:r>
      <w:r>
        <w:t>财会监督年</w:t>
      </w:r>
      <w:r>
        <w:t>”</w:t>
      </w:r>
      <w:r>
        <w:t>活动，扎实推进财会监督工作走深走实。</w:t>
      </w:r>
    </w:p>
    <w:p w:rsidR="00CC366D" w:rsidRDefault="00CC366D" w:rsidP="00CC366D">
      <w:pPr>
        <w:ind w:firstLineChars="200" w:firstLine="420"/>
        <w:jc w:val="left"/>
      </w:pPr>
      <w:r>
        <w:rPr>
          <w:rFonts w:hint="eastAsia"/>
        </w:rPr>
        <w:t>创新治理机制，形成整体智治“全闭环”</w:t>
      </w:r>
    </w:p>
    <w:p w:rsidR="00CC366D" w:rsidRDefault="00CC366D" w:rsidP="00CC366D">
      <w:pPr>
        <w:ind w:firstLineChars="200" w:firstLine="420"/>
        <w:jc w:val="left"/>
      </w:pPr>
      <w:r>
        <w:rPr>
          <w:rFonts w:hint="eastAsia"/>
        </w:rPr>
        <w:t>印发“财会监督年”活动实施方案，形成“纲举目张、执本末从”的工作推进力。一是聚焦专项检查“重点”。统筹整合财政部、省财政厅多批次检查任务，结合嘉兴实际，系统梳理、完善形成三大领域、六大专项行动检查任务。聚焦决策部署，安排减税降费政策落实问题整治、涉企政策资金绩效监督等检查任务；聚焦风险防控，以强化国资国企监管、落实好过紧日子要求为突破口安排专项行动；聚焦财务会计，开展专项攻坚行动，深化推进重构行政事业单位财会管理新格局改革，推动财会监督“长牙齿”、“亮利剑”、显作用。二是扫清监督管理“盲点”。局领导挂帅，成立</w:t>
      </w:r>
      <w:r>
        <w:t>9</w:t>
      </w:r>
      <w:r>
        <w:t>个督导检查组，开展</w:t>
      </w:r>
      <w:r>
        <w:t>“</w:t>
      </w:r>
      <w:r>
        <w:t>大走访、大调查、大起底、大服务</w:t>
      </w:r>
      <w:r>
        <w:t>”</w:t>
      </w:r>
      <w:r>
        <w:t>活动。各督导检查组走访下沉县（市、区）及部门一线，通过调查监督对象的会计管理、预算管理、账户管理、资产管理、项目管理、人员编制等有关情况，全面起底行政事业单位整体家底、</w:t>
      </w:r>
      <w:r>
        <w:t>“</w:t>
      </w:r>
      <w:r>
        <w:t>沉睡资源</w:t>
      </w:r>
      <w:r>
        <w:t>”</w:t>
      </w:r>
      <w:r>
        <w:t>、</w:t>
      </w:r>
      <w:r>
        <w:t>“</w:t>
      </w:r>
      <w:r>
        <w:t>隐形财富</w:t>
      </w:r>
      <w:r>
        <w:t>”</w:t>
      </w:r>
      <w:r>
        <w:t>，把游离于监管以外的要素资源查清、盘活、管好。三是打造财政智治</w:t>
      </w:r>
      <w:r>
        <w:t>“</w:t>
      </w:r>
      <w:r>
        <w:t>亮点</w:t>
      </w:r>
      <w:r>
        <w:t>”</w:t>
      </w:r>
      <w:r>
        <w:t>。做实做优财会监督的数据积累、数据挖掘、数据利用，积极推进大数据、云计算、区块链等新技术与财政业务深度融合，迭代升级部门预算数字化监管平台、政府投资项目管理系统、资产数字化监管系统等一批嘉兴财</w:t>
      </w:r>
      <w:r>
        <w:rPr>
          <w:rFonts w:hint="eastAsia"/>
        </w:rPr>
        <w:t>政数字化改革“旗舰号项目”。深化细化部门“整体画像”，对市本级</w:t>
      </w:r>
      <w:r>
        <w:t>76</w:t>
      </w:r>
      <w:r>
        <w:t>个部门、</w:t>
      </w:r>
      <w:r>
        <w:t>226</w:t>
      </w:r>
      <w:r>
        <w:t>家单位预算全过程数据进行系统整合，一屏展示预算编制、调整、执行、决算、绩效等预算收支管理情况。</w:t>
      </w:r>
    </w:p>
    <w:p w:rsidR="00CC366D" w:rsidRDefault="00CC366D" w:rsidP="00CC366D">
      <w:pPr>
        <w:ind w:firstLineChars="200" w:firstLine="420"/>
        <w:jc w:val="left"/>
      </w:pPr>
      <w:r>
        <w:rPr>
          <w:rFonts w:hint="eastAsia"/>
        </w:rPr>
        <w:t>优化工作方式，打出监督检查“组合拳”</w:t>
      </w:r>
    </w:p>
    <w:p w:rsidR="00CC366D" w:rsidRDefault="00CC366D" w:rsidP="00CC366D">
      <w:pPr>
        <w:ind w:firstLineChars="200" w:firstLine="420"/>
        <w:jc w:val="left"/>
      </w:pPr>
      <w:r>
        <w:rPr>
          <w:rFonts w:hint="eastAsia"/>
        </w:rPr>
        <w:t>按照“下去一把抓，回来再分家”的工作路径，建立健全横向到边、纵向到底的工作模式。一是分工配合拧成“一股绳”。构建“</w:t>
      </w:r>
      <w:r>
        <w:t>1+9+9”</w:t>
      </w:r>
      <w:r>
        <w:t>工作架构，实现</w:t>
      </w:r>
      <w:r>
        <w:t>1</w:t>
      </w:r>
      <w:r>
        <w:t>个专班、</w:t>
      </w:r>
      <w:r>
        <w:t>9</w:t>
      </w:r>
      <w:r>
        <w:t>个督导检查组、</w:t>
      </w:r>
      <w:r>
        <w:t>9</w:t>
      </w:r>
      <w:r>
        <w:t>大领域业务归口管理组协同发力。通过领导包干领办、市县纵向联动、人员交叉互派、线索情况互通、监督成果共享等形式，实现业务多跨、部门多跨、效能多跨。二是团队协作聚成</w:t>
      </w:r>
      <w:r>
        <w:t>“</w:t>
      </w:r>
      <w:r>
        <w:t>一条心</w:t>
      </w:r>
      <w:r>
        <w:t>”</w:t>
      </w:r>
      <w:r>
        <w:t>。各专项工作组内加强团队协作，发挥个人岗位专业优势，关注掌握不同检查对象的业务特点、</w:t>
      </w:r>
      <w:r>
        <w:t>“</w:t>
      </w:r>
      <w:r>
        <w:t>家底</w:t>
      </w:r>
      <w:r>
        <w:t>”</w:t>
      </w:r>
      <w:r>
        <w:t>情况，落实落细查前准备、线索摸排、监督检查、报告撰写、比照核查等工作要求。建立定期</w:t>
      </w:r>
      <w:r>
        <w:rPr>
          <w:rFonts w:hint="eastAsia"/>
        </w:rPr>
        <w:t>会商、分阶段督办机制，明确时间节点，加强沟通协作，以项目化、节点化、清单化的方式一体推进工作。三是强化统筹合成“一股力”。坚持“管理</w:t>
      </w:r>
      <w:r>
        <w:t>+</w:t>
      </w:r>
      <w:r>
        <w:t>监督</w:t>
      </w:r>
      <w:r>
        <w:t>”</w:t>
      </w:r>
      <w:r>
        <w:t>有机统一，寓监督于管理之中、服务之中，推进内部监督与外部监督、日常监督与专项监督、现场监督与非现场监督、线上监督与线下监督、事前事中事后监督相结合，深入全面把握、完整系统理解部门单位主流业务、主要诉求，有力变革过去</w:t>
      </w:r>
      <w:r>
        <w:t>“</w:t>
      </w:r>
      <w:r>
        <w:t>重分配、轻绩效、轻监管</w:t>
      </w:r>
      <w:r>
        <w:t>”</w:t>
      </w:r>
      <w:r>
        <w:t>的工作方式。</w:t>
      </w:r>
    </w:p>
    <w:p w:rsidR="00CC366D" w:rsidRDefault="00CC366D" w:rsidP="00CC366D">
      <w:pPr>
        <w:ind w:firstLineChars="200" w:firstLine="420"/>
        <w:jc w:val="left"/>
      </w:pPr>
      <w:r>
        <w:rPr>
          <w:rFonts w:hint="eastAsia"/>
        </w:rPr>
        <w:t>做好成果转化，擦亮监管联动“金名片”</w:t>
      </w:r>
    </w:p>
    <w:p w:rsidR="00CC366D" w:rsidRDefault="00CC366D" w:rsidP="00CC366D">
      <w:pPr>
        <w:ind w:firstLineChars="200" w:firstLine="420"/>
        <w:jc w:val="left"/>
      </w:pPr>
      <w:r>
        <w:rPr>
          <w:rFonts w:hint="eastAsia"/>
        </w:rPr>
        <w:t>完善一批制度机制、整治一批突出问题、打造一批标志性成果，为党委政府“把家理好、把财理好、把钱管好”。一是织密联动贯通“监管网”。加强财政与人大、审计、纪委监委、巡视机构等部门问题会商、联合检查、线索移交、结果共享等工作机制，建立分类施策的监督结果运用机制，做好检查结果反馈，及时发出督导提醒函、风险提示函，依法依规做好问题移交处置。着力完善财会监督与纪检监察监督在贯彻落实中央八项规定精神、纠治“四风”、整治群众身边腐败和不正之风等方面要求的贯通协调机制，坚决发现虚报冒领、乱发钱物、挪用公款甚至贪污公款等违规违纪违法问题。二是筑牢财务内控“防火墙”。同步开展部门单位财务内控风险评价和服务指导，研究形成涵盖财务机构设置及财务人员配备、财务内控建设、预决算管理等多个层次的财务内控风险评价指标体系。建立分类财会管理模式，深化推进重构行政事业单位财会管理新格局试点工作。三是建章立制落实好过紧日子要求。将检查结果转化为制度成果、决策成果，推动监督检查与预算安排、资产配置、预算执行、绩效评价有机衔接贯通。突出系统性、清单化、具体化，加快健全过紧日子制度体系，结构性重塑预算编制流程、支出标准体系，加强政府性资源统筹，严格账户管理，加大部门单位自有资金统筹力度，常态化清理盘活沉淀资金、清理往来款项，加强会展宣传费用、委托业务费预算管理，强化“四资财源”的盘活运用和“四本预算”的有效衔接。</w:t>
      </w:r>
    </w:p>
    <w:p w:rsidR="00CC366D" w:rsidRDefault="00CC366D" w:rsidP="00CC366D">
      <w:pPr>
        <w:ind w:firstLineChars="200" w:firstLine="420"/>
        <w:jc w:val="left"/>
      </w:pPr>
      <w:r>
        <w:rPr>
          <w:rFonts w:hint="eastAsia"/>
        </w:rPr>
        <w:t>加强干部锻炼，打造财会监督“生力军”</w:t>
      </w:r>
    </w:p>
    <w:p w:rsidR="00CC366D" w:rsidRDefault="00CC366D" w:rsidP="00CC366D">
      <w:pPr>
        <w:ind w:firstLineChars="200" w:firstLine="420"/>
        <w:jc w:val="left"/>
      </w:pPr>
      <w:r>
        <w:rPr>
          <w:rFonts w:hint="eastAsia"/>
        </w:rPr>
        <w:t>引领财政干部在财会监督的实践实战中百炼成钢，加快建设变革型财政组织。一是加快推进理念重塑。教育引导财政干部牢固树立“每个财政干部既是预算的安排者、管理者，更是财政监督检查的落实者、责任人”意识，将财会监督视为财政工作的题中之义，形成“全员监督”的态势、厚植“全科医生”的优势，有力营造财会监督的良好氛围。二是加快推进能力重塑。针对干部队伍新陈代谢快，工作任务繁复交叉、碎片化程度高等现实情况，通过人员交叉互派、任务统筹安排、条线系统协调，有力打破处室间业务壁垒，以整体化概念推进财政各项工作，着力培养一专多能、推陈出新的高素质专业化队伍。三是加快推进作风重塑。将“财会监督年”活动作为推进全面从严治党、维护政令畅通、规范财经秩序的重要手段，巩固深化“财政制度建设就是党风廉政建设”理念，纵深推动“清廉财政”建设。大兴调查研究之风，全面查找财政改革发展过程中的短板、问题，精准破解普遍性问题和个性化难题，及时研究提出补短板、强弱项、扬优势的思路和举措。</w:t>
      </w:r>
    </w:p>
    <w:p w:rsidR="00CC366D" w:rsidRDefault="00CC366D" w:rsidP="00CC366D">
      <w:pPr>
        <w:ind w:firstLineChars="200" w:firstLine="420"/>
        <w:jc w:val="right"/>
      </w:pPr>
      <w:r w:rsidRPr="009C1956">
        <w:rPr>
          <w:rFonts w:hint="eastAsia"/>
        </w:rPr>
        <w:t>嘉兴市人民政府网站</w:t>
      </w:r>
      <w:r>
        <w:rPr>
          <w:rFonts w:hint="eastAsia"/>
        </w:rPr>
        <w:t>2023-08-16</w:t>
      </w:r>
    </w:p>
    <w:p w:rsidR="00CC366D" w:rsidRDefault="00CC366D" w:rsidP="00F844CF">
      <w:pPr>
        <w:sectPr w:rsidR="00CC366D" w:rsidSect="00F844C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005EA" w:rsidRDefault="007005EA"/>
    <w:sectPr w:rsidR="007005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C366D"/>
    <w:rsid w:val="007005EA"/>
    <w:rsid w:val="00CC36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C366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CC366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358</Words>
  <Characters>2045</Characters>
  <Application>Microsoft Office Word</Application>
  <DocSecurity>0</DocSecurity>
  <Lines>17</Lines>
  <Paragraphs>4</Paragraphs>
  <ScaleCrop>false</ScaleCrop>
  <Company>Microsoft</Company>
  <LinksUpToDate>false</LinksUpToDate>
  <CharactersWithSpaces>2399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2023-08-24T09:02:00Z</dcterms:created>
</cp:coreProperties>
</file>