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EDE" w:rsidRDefault="00820EDE" w:rsidP="002048BC">
      <w:pPr>
        <w:pStyle w:val="1"/>
      </w:pPr>
      <w:r w:rsidRPr="009D0107">
        <w:rPr>
          <w:rFonts w:hint="eastAsia"/>
        </w:rPr>
        <w:t>石城县财政局：做足“三好”，提升政府采购监管能力</w:t>
      </w:r>
    </w:p>
    <w:p w:rsidR="00820EDE" w:rsidRDefault="00820EDE" w:rsidP="00820EDE">
      <w:pPr>
        <w:ind w:firstLineChars="200" w:firstLine="420"/>
        <w:jc w:val="left"/>
      </w:pPr>
      <w:r>
        <w:rPr>
          <w:rFonts w:hint="eastAsia"/>
        </w:rPr>
        <w:t>为加强政府采购监督管理，推进政府采购领域优化营商环境，提高政府采购时效，提升政府采购便利度，石城县财政局切实履行监管主体责任、创新工作举措，转变服务理念，助推政府采购提质增效。</w:t>
      </w:r>
    </w:p>
    <w:p w:rsidR="00820EDE" w:rsidRDefault="00820EDE" w:rsidP="00820EDE">
      <w:pPr>
        <w:ind w:firstLineChars="200" w:firstLine="420"/>
        <w:jc w:val="left"/>
      </w:pPr>
      <w:r>
        <w:rPr>
          <w:rFonts w:hint="eastAsia"/>
        </w:rPr>
        <w:t>一是完善好采购管理制度。出台政府采购负面清单，规范采购人、代理机构、评审专家、供应商</w:t>
      </w:r>
      <w:r>
        <w:t>35</w:t>
      </w:r>
      <w:r>
        <w:t>类</w:t>
      </w:r>
      <w:r>
        <w:t>211</w:t>
      </w:r>
      <w:r>
        <w:t>种政府采购负面事项。出台采购意向公开、</w:t>
      </w:r>
      <w:r>
        <w:t>“</w:t>
      </w:r>
      <w:r>
        <w:t>不见面开标</w:t>
      </w:r>
      <w:r>
        <w:t>”</w:t>
      </w:r>
      <w:r>
        <w:t>、远程异地评标、投标、履约保证金收退等规定，规范采购活动行为。出台政府采购电子卖场管理办法，规范采购人零星小额采购行为。出台政府采购合同管理制度，明确了合同签订、履约验收、资金支付等制度，保障基本权益。出台政府采购质疑投诉处理操作流程，规范政府采购救济措施，维护当事人合法权益。今年来，采购项目</w:t>
      </w:r>
      <w:r>
        <w:t>58</w:t>
      </w:r>
      <w:r>
        <w:t>个，意向公开率</w:t>
      </w:r>
      <w:r>
        <w:t>100%</w:t>
      </w:r>
      <w:r>
        <w:t>，远程异地评标率</w:t>
      </w:r>
      <w:r>
        <w:t>91%,</w:t>
      </w:r>
      <w:r>
        <w:t>合同在线签订率</w:t>
      </w:r>
      <w:r>
        <w:t>95%</w:t>
      </w:r>
      <w:r>
        <w:rPr>
          <w:rFonts w:hint="eastAsia"/>
        </w:rPr>
        <w:t>，免收投标保证金率</w:t>
      </w:r>
      <w:r>
        <w:t>100%</w:t>
      </w:r>
      <w:r>
        <w:t>，处理投诉案件</w:t>
      </w:r>
      <w:r>
        <w:t>2</w:t>
      </w:r>
      <w:r>
        <w:t>起。</w:t>
      </w:r>
    </w:p>
    <w:p w:rsidR="00820EDE" w:rsidRDefault="00820EDE" w:rsidP="00820EDE">
      <w:pPr>
        <w:ind w:firstLineChars="200" w:firstLine="420"/>
        <w:jc w:val="left"/>
      </w:pPr>
      <w:r>
        <w:rPr>
          <w:rFonts w:hint="eastAsia"/>
        </w:rPr>
        <w:t>二是建立好采购交易平台。打通政府采购电子平台与预算管理一体化、信用信息平台、电子卖场、“中征融资服务”等系统相衔接。推进“互连网</w:t>
      </w:r>
      <w:r>
        <w:t>+</w:t>
      </w:r>
      <w:r>
        <w:t>政府采购</w:t>
      </w:r>
      <w:r>
        <w:t>”</w:t>
      </w:r>
      <w:r>
        <w:t>监管模式，完善交易功能，实现政府采购线上提供采购文件、提交投标响应文件、提交、退还投标保证金、参加开评标、签订政府采购合同、履约验收服务、支付合同金额等全流程电子化。建立线上投诉举报功能，畅通线上线下多种投诉举报渠道。今年来，采购项目</w:t>
      </w:r>
      <w:r>
        <w:t>58</w:t>
      </w:r>
      <w:r>
        <w:t>个，预算金额</w:t>
      </w:r>
      <w:r>
        <w:t>15578.81</w:t>
      </w:r>
      <w:r>
        <w:t>万元，中标金额</w:t>
      </w:r>
      <w:r>
        <w:t>14894.05</w:t>
      </w:r>
      <w:r>
        <w:t>万元，节约金额</w:t>
      </w:r>
      <w:r>
        <w:t>684.76</w:t>
      </w:r>
      <w:r>
        <w:t>万元。</w:t>
      </w:r>
    </w:p>
    <w:p w:rsidR="00820EDE" w:rsidRDefault="00820EDE" w:rsidP="00820EDE">
      <w:pPr>
        <w:ind w:firstLineChars="200" w:firstLine="420"/>
        <w:jc w:val="left"/>
      </w:pPr>
      <w:r>
        <w:rPr>
          <w:rFonts w:hint="eastAsia"/>
        </w:rPr>
        <w:t>三是搭建好采购服务“桥梁”。建立全省“一张网”政府采购电子卖场采购平台，供采购人以及县属国有企业通过电子卖场采购限额标准以下的项目。引导供应商自愿承诺，“零”门槛方式入驻电子卖场。建立政府采购信用融资贷款服务平台，由供应商结合自身融资贷款需求，凭中标（成交）通知书可线上申请融资贷款服务。引导供应商入驻“</w:t>
      </w:r>
      <w:r>
        <w:t>832”</w:t>
      </w:r>
      <w:r>
        <w:t>农产品销售平台，供采购人和县属国有企业结合食堂食材需求和工会经费采购需求，预留一定比率通过</w:t>
      </w:r>
      <w:r>
        <w:t>“832”</w:t>
      </w:r>
      <w:r>
        <w:t>平台采购脱贫地区农产品。今年来，电子卖场采购金额</w:t>
      </w:r>
      <w:r>
        <w:t>7826.21</w:t>
      </w:r>
      <w:r>
        <w:t>万元，涉及融资贷款金额</w:t>
      </w:r>
      <w:r>
        <w:t>183</w:t>
      </w:r>
      <w:r>
        <w:t>万元，采购</w:t>
      </w:r>
      <w:r>
        <w:rPr>
          <w:rFonts w:hint="eastAsia"/>
        </w:rPr>
        <w:t>农产品</w:t>
      </w:r>
      <w:r>
        <w:t>122.68</w:t>
      </w:r>
      <w:r>
        <w:t>万元。</w:t>
      </w:r>
    </w:p>
    <w:p w:rsidR="00820EDE" w:rsidRDefault="00820EDE" w:rsidP="00820EDE">
      <w:pPr>
        <w:ind w:firstLineChars="200" w:firstLine="420"/>
        <w:jc w:val="right"/>
      </w:pPr>
      <w:r w:rsidRPr="009D0107">
        <w:rPr>
          <w:rFonts w:hint="eastAsia"/>
        </w:rPr>
        <w:t>赣州市财政局</w:t>
      </w:r>
      <w:r w:rsidRPr="009D0107">
        <w:t>2023-08-16</w:t>
      </w:r>
    </w:p>
    <w:p w:rsidR="00820EDE" w:rsidRDefault="00820EDE" w:rsidP="00F844CF">
      <w:pPr>
        <w:sectPr w:rsidR="00820EDE" w:rsidSect="00F844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D14C0" w:rsidRDefault="00DD14C0"/>
    <w:sectPr w:rsidR="00DD14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0EDE"/>
    <w:rsid w:val="00820EDE"/>
    <w:rsid w:val="00DD14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0E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20E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>Microsoft</Company>
  <LinksUpToDate>false</LinksUpToDate>
  <CharactersWithSpaces>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2023-08-24T09:02:00Z</dcterms:created>
</cp:coreProperties>
</file>