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0CC" w:rsidRDefault="006B10CC" w:rsidP="002C6CDA">
      <w:pPr>
        <w:pStyle w:val="1"/>
      </w:pPr>
      <w:r>
        <w:rPr>
          <w:rFonts w:hint="eastAsia"/>
        </w:rPr>
        <w:t>淮海</w:t>
      </w:r>
      <w:r w:rsidRPr="002C6CDA">
        <w:rPr>
          <w:rFonts w:hint="eastAsia"/>
        </w:rPr>
        <w:t>市严把食品药品安全防线</w:t>
      </w:r>
      <w:r w:rsidRPr="002C6CDA">
        <w:t xml:space="preserve"> 守牢</w:t>
      </w:r>
      <w:r w:rsidRPr="002C6CDA">
        <w:t>“</w:t>
      </w:r>
      <w:r w:rsidRPr="002C6CDA">
        <w:t>舌尖上的安全</w:t>
      </w:r>
      <w:r w:rsidRPr="002C6CDA">
        <w:t>”</w:t>
      </w:r>
    </w:p>
    <w:p w:rsidR="006B10CC" w:rsidRDefault="006B10CC" w:rsidP="006B10CC">
      <w:pPr>
        <w:ind w:firstLineChars="200" w:firstLine="420"/>
      </w:pPr>
      <w:r>
        <w:rPr>
          <w:rFonts w:hint="eastAsia"/>
        </w:rPr>
        <w:t>近年来，我市深入践行以人民为中心的发展理念，聚焦食品、药品安全，持续完善治理体系，不断提升监管能力，全力守护“舌尖上的安全”。</w:t>
      </w:r>
    </w:p>
    <w:p w:rsidR="006B10CC" w:rsidRDefault="006B10CC" w:rsidP="006B10CC">
      <w:pPr>
        <w:ind w:firstLineChars="200" w:firstLine="420"/>
      </w:pPr>
      <w:r>
        <w:rPr>
          <w:rFonts w:hint="eastAsia"/>
        </w:rPr>
        <w:t>健全体系筑根基。坚持齐抓共管，健全食安委工作机制，市县两级均成立药安委和打击整治危害药品安全违法犯罪领导小组，市级层面建立药品医疗器械质量安全监管部门联动协作、药物滥用监测部门联席机制。全市</w:t>
      </w:r>
      <w:r>
        <w:t>6000</w:t>
      </w:r>
      <w:r>
        <w:t>多名干部包保</w:t>
      </w:r>
      <w:r>
        <w:t>4</w:t>
      </w:r>
      <w:r>
        <w:t>万余家获证食品生产经营企业，督导覆盖率、督导问题处置率均达</w:t>
      </w:r>
      <w:r>
        <w:t>100%</w:t>
      </w:r>
      <w:r>
        <w:t>。食品生产经营主体</w:t>
      </w:r>
      <w:r>
        <w:t>“</w:t>
      </w:r>
      <w:r>
        <w:t>三类人</w:t>
      </w:r>
      <w:r>
        <w:t>”</w:t>
      </w:r>
      <w:r>
        <w:t>配备率、</w:t>
      </w:r>
      <w:r>
        <w:t>“</w:t>
      </w:r>
      <w:r>
        <w:t>三本账</w:t>
      </w:r>
      <w:r>
        <w:t>”</w:t>
      </w:r>
      <w:r>
        <w:t>和</w:t>
      </w:r>
      <w:r>
        <w:t>“</w:t>
      </w:r>
      <w:r>
        <w:t>三件事</w:t>
      </w:r>
      <w:r>
        <w:t>”</w:t>
      </w:r>
      <w:r>
        <w:t>落实率均达</w:t>
      </w:r>
      <w:r>
        <w:t>98%</w:t>
      </w:r>
      <w:r>
        <w:t>以上。淮安区通过省级食品安全示范城市命名评价，涟水县通过省级食品安全示范城市跟踪评价。</w:t>
      </w:r>
    </w:p>
    <w:p w:rsidR="006B10CC" w:rsidRDefault="006B10CC" w:rsidP="006B10CC">
      <w:pPr>
        <w:ind w:firstLineChars="200" w:firstLine="420"/>
      </w:pPr>
      <w:r>
        <w:rPr>
          <w:rFonts w:hint="eastAsia"/>
        </w:rPr>
        <w:t>严厉查处防风险。开展食品安全“守查保”专项行动、药品安全重点领域专项检查整治，强化重点医疗物资稳价保供，严打重处性质恶劣的违法行为，仅去年就有</w:t>
      </w:r>
      <w:r>
        <w:t>2</w:t>
      </w:r>
      <w:r>
        <w:t>起生产销售假药案分别入选最高人民法院、公安部典型案例，查办</w:t>
      </w:r>
      <w:r>
        <w:t>1</w:t>
      </w:r>
      <w:r>
        <w:t>起非法制售医疗器械产品案获国家药监局通报表扬，</w:t>
      </w:r>
      <w:r>
        <w:t>“555”</w:t>
      </w:r>
      <w:r>
        <w:t>食品安全风险排查治理工作机制在全省推介。规范化运行淮安区、淮阴区两个进口冷链食品集中监管仓。组织</w:t>
      </w:r>
      <w:r>
        <w:t>“</w:t>
      </w:r>
      <w:r>
        <w:t>逢十（食）</w:t>
      </w:r>
      <w:r>
        <w:t>”</w:t>
      </w:r>
      <w:r>
        <w:t>执法直播专项行动，覆盖食品行业全领域，在线观众累计达</w:t>
      </w:r>
      <w:r>
        <w:t>1000</w:t>
      </w:r>
      <w:r>
        <w:t>余万人次。</w:t>
      </w:r>
    </w:p>
    <w:p w:rsidR="006B10CC" w:rsidRDefault="006B10CC" w:rsidP="006B10CC">
      <w:pPr>
        <w:ind w:firstLineChars="200" w:firstLine="420"/>
      </w:pPr>
      <w:r>
        <w:rPr>
          <w:rFonts w:hint="eastAsia"/>
        </w:rPr>
        <w:t>创新举措见实效。创新“四联四同”外卖配送行业党建工作法，获省委和市场监管总局主要领导批示。“四个一”措施压实食品安全“两个责任”经验做法被国务院食安办简报推广。成功承办首届全国市场监管系统食品抽检技能大比武决赛。省内首部餐厨垃圾管理地方性法规《淮安市餐厨垃圾管理条例》正式施行，食品小作坊整治提优工作连续</w:t>
      </w:r>
      <w:r>
        <w:t>3</w:t>
      </w:r>
      <w:r>
        <w:t>年获评全省优秀等次，实施养老机构食品安全</w:t>
      </w:r>
      <w:r>
        <w:t>“</w:t>
      </w:r>
      <w:r>
        <w:t>红橙黄绿</w:t>
      </w:r>
      <w:r>
        <w:t>”</w:t>
      </w:r>
      <w:r>
        <w:t>四色亮牌机制。</w:t>
      </w:r>
      <w:r>
        <w:t>2022</w:t>
      </w:r>
      <w:r>
        <w:t>年度我市药品不良反应监测业务测评位居全省第一，开办药店</w:t>
      </w:r>
      <w:r>
        <w:t>“</w:t>
      </w:r>
      <w:r>
        <w:t>一件事</w:t>
      </w:r>
      <w:r>
        <w:t>”</w:t>
      </w:r>
      <w:r>
        <w:t>改革得到省药监局认可，并在淮召开全省现场推进会，药械</w:t>
      </w:r>
      <w:r>
        <w:t>“</w:t>
      </w:r>
      <w:r>
        <w:t>四早</w:t>
      </w:r>
      <w:r>
        <w:t>”</w:t>
      </w:r>
      <w:r>
        <w:t>风险防范</w:t>
      </w:r>
      <w:r>
        <w:rPr>
          <w:rFonts w:hint="eastAsia"/>
        </w:rPr>
        <w:t>化解机制被省市场监管局列入</w:t>
      </w:r>
      <w:r>
        <w:t>2023</w:t>
      </w:r>
      <w:r>
        <w:t>年度创新创优项目。</w:t>
      </w:r>
    </w:p>
    <w:p w:rsidR="006B10CC" w:rsidRDefault="006B10CC" w:rsidP="006B10CC">
      <w:pPr>
        <w:ind w:firstLineChars="200" w:firstLine="420"/>
      </w:pPr>
      <w:r>
        <w:rPr>
          <w:rFonts w:hint="eastAsia"/>
        </w:rPr>
        <w:t>做优平台强保障。新增</w:t>
      </w:r>
      <w:r>
        <w:t>2</w:t>
      </w:r>
      <w:r>
        <w:t>家省五星级乡镇监管站；市农产品质检中心通过计量认证和农产品质量检测机构考核认证，设立新收获粮食质量安全监测</w:t>
      </w:r>
      <w:r>
        <w:t>5</w:t>
      </w:r>
      <w:r>
        <w:t>个主导品种</w:t>
      </w:r>
      <w:r>
        <w:t>486</w:t>
      </w:r>
      <w:r>
        <w:t>个监测点；支持天士力、正大清江等药企申报省战略性新兴产业专项，累计获批省级工程研究中心平台</w:t>
      </w:r>
      <w:r>
        <w:t>3</w:t>
      </w:r>
      <w:r>
        <w:t>个。</w:t>
      </w:r>
    </w:p>
    <w:p w:rsidR="006B10CC" w:rsidRDefault="006B10CC" w:rsidP="002C6CDA">
      <w:pPr>
        <w:jc w:val="right"/>
      </w:pPr>
      <w:r w:rsidRPr="002C6CDA">
        <w:rPr>
          <w:rFonts w:hint="eastAsia"/>
        </w:rPr>
        <w:t>淮海晚报</w:t>
      </w:r>
      <w:r>
        <w:rPr>
          <w:rFonts w:hint="eastAsia"/>
        </w:rPr>
        <w:t>2023-8-10</w:t>
      </w:r>
    </w:p>
    <w:p w:rsidR="006B10CC" w:rsidRDefault="006B10CC" w:rsidP="009E7E10">
      <w:pPr>
        <w:sectPr w:rsidR="006B10CC" w:rsidSect="009E7E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0777" w:rsidRDefault="00A60777"/>
    <w:sectPr w:rsidR="00A607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10CC"/>
    <w:rsid w:val="006B10CC"/>
    <w:rsid w:val="00A60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10CC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10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>Microsoft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2023-08-19T04:03:00Z</dcterms:created>
</cp:coreProperties>
</file>