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1420" w:rsidRDefault="00CB1420" w:rsidP="00182042">
      <w:pPr>
        <w:pStyle w:val="1"/>
      </w:pPr>
      <w:r w:rsidRPr="00182042">
        <w:rPr>
          <w:rFonts w:hint="eastAsia"/>
        </w:rPr>
        <w:t>广东各地扎实推进食品安全“两个责任”</w:t>
      </w:r>
    </w:p>
    <w:p w:rsidR="00CB1420" w:rsidRDefault="00CB1420" w:rsidP="00CB1420">
      <w:pPr>
        <w:ind w:firstLineChars="200" w:firstLine="420"/>
      </w:pPr>
      <w:r>
        <w:rPr>
          <w:rFonts w:hint="eastAsia"/>
        </w:rPr>
        <w:t>每半个月召开一次全省视频调度会，已成为广东省食药安办协调、指导和督促广东食品安全“两个责任”工作机制落地落实的一项重要举措。各地针对调度会指出的问题、提出的要求，对标对表、查遗补缺，较好地保障了全省食品安全“两个责任”工作扎实推进。</w:t>
      </w:r>
    </w:p>
    <w:p w:rsidR="00CB1420" w:rsidRDefault="00CB1420" w:rsidP="00CB1420">
      <w:pPr>
        <w:ind w:firstLineChars="200" w:firstLine="420"/>
      </w:pPr>
      <w:r>
        <w:rPr>
          <w:rFonts w:hint="eastAsia"/>
        </w:rPr>
        <w:t>深圳市针对辖区获证食品生产经营主体归集率不到</w:t>
      </w:r>
      <w:r>
        <w:t>80%</w:t>
      </w:r>
      <w:r>
        <w:t>的现状。通过多渠道收集各级包保干部督导反馈的经营主体情况，清理系统中异常状态的经营许可证，汇总各生产经营主体经营状况；在行政许可审批系统核对出持有效证书食品生产经营主体，持续协调各部门核实平台数据等举措，有效实现了主体归集率的稳步回升。</w:t>
      </w:r>
    </w:p>
    <w:p w:rsidR="00CB1420" w:rsidRDefault="00CB1420" w:rsidP="00CB1420">
      <w:pPr>
        <w:ind w:firstLineChars="200" w:firstLine="420"/>
      </w:pPr>
      <w:r>
        <w:rPr>
          <w:rFonts w:hint="eastAsia"/>
        </w:rPr>
        <w:t>惠州市针对包保干部开展督导工作前松后紧，影响了发现问题整改率提高等问题，研究制定了对策措施：要求各县（区）紧盯短板弱项，抓好问题整改，确保各项指标达标创优；组织开展对各级包保干部的培训，对涉及“属地责任管理”平台和“食安督”手机软件操作中易被忽视的细节性问题，要求各级食药安办工作人员及时提醒到位，防止因盲目操作导致上报数据出现错误；层层传导压力，健全完善食品安全“两个责任”工作机制，要求各县（区）做到每天有提醒、每周有督导、每月有讲评、每季必达标、全年见成效。</w:t>
      </w:r>
    </w:p>
    <w:p w:rsidR="00CB1420" w:rsidRDefault="00CB1420" w:rsidP="00CB1420">
      <w:pPr>
        <w:ind w:firstLineChars="200" w:firstLine="420"/>
      </w:pPr>
      <w:r>
        <w:rPr>
          <w:rFonts w:hint="eastAsia"/>
        </w:rPr>
        <w:t>珠海市多次召开专题会议通报各区包保主体数据归集情况，并制定企业注销操作指引，明确食品生产经营企业注销流程和管理制度；完善企业注销审核管理流程，严格审批的停产停业企业、吊证企业、搬离本辖区的企业名单，由辖区食药安办核验，经市食安办审核，区食安办方可在平台解除包保关系并删除该包保主体，杜绝对包保主体随意删减逃避包保责任的现象。</w:t>
      </w:r>
    </w:p>
    <w:p w:rsidR="00CB1420" w:rsidRDefault="00CB1420" w:rsidP="00CB1420">
      <w:pPr>
        <w:ind w:firstLineChars="200" w:firstLine="420"/>
      </w:pPr>
      <w:r>
        <w:rPr>
          <w:rFonts w:hint="eastAsia"/>
        </w:rPr>
        <w:t>佛山市强化“平时”“评时”，要求分批次开展平台数据补录工作，明确任务要求和时间节点，将食品安全“两个责任”工作有关要求列入</w:t>
      </w:r>
      <w:r>
        <w:t>2023</w:t>
      </w:r>
      <w:r>
        <w:t>年食品安全工作考评和市场监管</w:t>
      </w:r>
      <w:r>
        <w:t>“</w:t>
      </w:r>
      <w:r>
        <w:t>十二项改革举措</w:t>
      </w:r>
      <w:r>
        <w:t>”</w:t>
      </w:r>
      <w:r>
        <w:t>。同时开展数据对比，做好补录工作。一方面，将许可系统的数据与</w:t>
      </w:r>
      <w:r>
        <w:t>“</w:t>
      </w:r>
      <w:r>
        <w:t>落实食品安全属地管理责任平台</w:t>
      </w:r>
      <w:r>
        <w:t>”</w:t>
      </w:r>
      <w:r>
        <w:t>数据进行比对，数据比对结果经市各食品业务科室审核后，发送至各区进行再次核对，最终将核实后的数据上报市工作专班组织数据清洗校验后，分批次补录数据至平台；另一方面，对倒闭未注销、找不到联系人的企业，通过公示等办法注销其食品经营许可证。对新增平台数据</w:t>
      </w:r>
      <w:r>
        <w:rPr>
          <w:rFonts w:hint="eastAsia"/>
        </w:rPr>
        <w:t>，及时纳入第三季度包保工作，及时建立“三清单</w:t>
      </w:r>
      <w:r>
        <w:t>+</w:t>
      </w:r>
      <w:r>
        <w:t>两承诺书</w:t>
      </w:r>
      <w:r>
        <w:t>”</w:t>
      </w:r>
      <w:r>
        <w:t>并开展督导。</w:t>
      </w:r>
    </w:p>
    <w:p w:rsidR="00CB1420" w:rsidRDefault="00CB1420" w:rsidP="00182042">
      <w:pPr>
        <w:jc w:val="right"/>
      </w:pPr>
      <w:r>
        <w:rPr>
          <w:rFonts w:hint="eastAsia"/>
        </w:rPr>
        <w:t>广东新闻</w:t>
      </w:r>
      <w:r>
        <w:rPr>
          <w:rFonts w:hint="eastAsia"/>
        </w:rPr>
        <w:t>2023-8-17</w:t>
      </w:r>
    </w:p>
    <w:p w:rsidR="00CB1420" w:rsidRDefault="00CB1420" w:rsidP="009E7E10">
      <w:pPr>
        <w:sectPr w:rsidR="00CB1420" w:rsidSect="009E7E1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D0680" w:rsidRDefault="002D0680"/>
    <w:sectPr w:rsidR="002D06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B1420"/>
    <w:rsid w:val="002D0680"/>
    <w:rsid w:val="00CB14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B1420"/>
    <w:pPr>
      <w:widowControl/>
      <w:adjustRightInd w:val="0"/>
      <w:spacing w:before="100" w:beforeAutospacing="1" w:after="100" w:afterAutospacing="1" w:line="360" w:lineRule="atLeast"/>
      <w:ind w:firstLineChars="200" w:firstLine="643"/>
      <w:jc w:val="center"/>
      <w:textAlignment w:val="baseline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B142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837</Characters>
  <Application>Microsoft Office Word</Application>
  <DocSecurity>0</DocSecurity>
  <Lines>6</Lines>
  <Paragraphs>1</Paragraphs>
  <ScaleCrop>false</ScaleCrop>
  <Company>Microsoft</Company>
  <LinksUpToDate>false</LinksUpToDate>
  <CharactersWithSpaces>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2023-08-19T04:03:00Z</dcterms:created>
</cp:coreProperties>
</file>