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17BB" w:rsidRDefault="006F17BB" w:rsidP="00345578">
      <w:pPr>
        <w:pStyle w:val="1"/>
      </w:pPr>
      <w:r>
        <w:rPr>
          <w:rFonts w:hint="eastAsia"/>
        </w:rPr>
        <w:t>烟台市蓬莱区“服务＋监管”提升特种设备安全治理水平</w:t>
      </w:r>
    </w:p>
    <w:p w:rsidR="006F17BB" w:rsidRDefault="006F17BB" w:rsidP="006F17BB">
      <w:pPr>
        <w:ind w:firstLineChars="200" w:firstLine="420"/>
      </w:pPr>
      <w:r>
        <w:rPr>
          <w:rFonts w:hint="eastAsia"/>
        </w:rPr>
        <w:t>近年来，烟台市蓬莱区围绕提升特种设备安全治理体系和治理能力现代化水平，强化责任落实、推进隐患治理，深化改革创新、服务保障民生，坚决守牢特种设备安全底线，开创特种设备安全监察工作新局面，助力经济社会高质量发展。</w:t>
      </w:r>
    </w:p>
    <w:p w:rsidR="006F17BB" w:rsidRDefault="006F17BB" w:rsidP="006F17BB">
      <w:pPr>
        <w:ind w:firstLineChars="200" w:firstLine="420"/>
      </w:pPr>
      <w:r>
        <w:rPr>
          <w:rFonts w:hint="eastAsia"/>
        </w:rPr>
        <w:t>服务走在前列</w:t>
      </w:r>
    </w:p>
    <w:p w:rsidR="006F17BB" w:rsidRDefault="006F17BB" w:rsidP="006F17BB">
      <w:pPr>
        <w:ind w:firstLineChars="200" w:firstLine="420"/>
      </w:pPr>
      <w:r>
        <w:rPr>
          <w:rFonts w:hint="eastAsia"/>
        </w:rPr>
        <w:t>蓬莱区市场监管局深化“放管服”改革，创新特种设备监管方式方法，紧紧围绕特种设备使用单位的所需所盼，坚持服务走在监管前，用好</w:t>
      </w:r>
      <w:r>
        <w:t>3</w:t>
      </w:r>
      <w:r>
        <w:t>大服务，变被动监管为主动服务，不断提升企业特种设备安全管理水平，从根本上实现</w:t>
      </w:r>
      <w:r>
        <w:t>“</w:t>
      </w:r>
      <w:r>
        <w:t>我要管到我会管</w:t>
      </w:r>
      <w:r>
        <w:t>”“</w:t>
      </w:r>
      <w:r>
        <w:t>我要安全到我保安全</w:t>
      </w:r>
      <w:r>
        <w:t>”</w:t>
      </w:r>
      <w:r>
        <w:t>的转变。</w:t>
      </w:r>
    </w:p>
    <w:p w:rsidR="006F17BB" w:rsidRDefault="006F17BB" w:rsidP="006F17BB">
      <w:pPr>
        <w:ind w:firstLineChars="200" w:firstLine="420"/>
      </w:pPr>
      <w:r>
        <w:rPr>
          <w:rFonts w:hint="eastAsia"/>
        </w:rPr>
        <w:t>聘请专家对特种设备使用单位存在的问题进行准确把脉问诊。对危险性较大、群众关心关注多的燃气充装单位、危化品等企业进行检查，重点对特种设备使用运营单位的安全管理、设备档案管理、作业人员持证上岗、设备检验运行、隐患治理、应急预案、应急演练、安全教育培训等工作落实情况逐一进行核查。针对检查中发现的安全隐患，专家组当场反馈检查结果并提出整改建议。</w:t>
      </w:r>
    </w:p>
    <w:p w:rsidR="006F17BB" w:rsidRDefault="006F17BB" w:rsidP="006F17BB">
      <w:pPr>
        <w:ind w:firstLineChars="200" w:firstLine="420"/>
      </w:pPr>
      <w:r>
        <w:rPr>
          <w:rFonts w:hint="eastAsia"/>
        </w:rPr>
        <w:t>不断提升智慧化监管水平，综合运用特种设备监管系统、</w:t>
      </w:r>
      <w:r>
        <w:t>96333</w:t>
      </w:r>
      <w:r>
        <w:t>电梯应急处置平台、气瓶充装追溯系统、特种设备使用客户端等智慧平台，加快推进由人防向</w:t>
      </w:r>
      <w:r>
        <w:t>“</w:t>
      </w:r>
      <w:r>
        <w:t>人防</w:t>
      </w:r>
      <w:r>
        <w:t>+</w:t>
      </w:r>
      <w:r>
        <w:t>技防</w:t>
      </w:r>
      <w:r>
        <w:t>”</w:t>
      </w:r>
      <w:r>
        <w:t>联防联控转变。一是探索建立特种设备定期检验</w:t>
      </w:r>
      <w:r>
        <w:t>“</w:t>
      </w:r>
      <w:r>
        <w:t>服务</w:t>
      </w:r>
      <w:r>
        <w:t>+</w:t>
      </w:r>
      <w:r>
        <w:t>监管</w:t>
      </w:r>
      <w:r>
        <w:t>”</w:t>
      </w:r>
      <w:r>
        <w:t>新模式，提升服务质量和加大监管力度双措并举，持续督促使用单位严格履行申报检验义务，及时消除特种设备</w:t>
      </w:r>
      <w:r>
        <w:t>“</w:t>
      </w:r>
      <w:r>
        <w:t>未检</w:t>
      </w:r>
      <w:r>
        <w:t>”</w:t>
      </w:r>
      <w:r>
        <w:t>安全隐患，将</w:t>
      </w:r>
      <w:r>
        <w:t xml:space="preserve"> “</w:t>
      </w:r>
      <w:r>
        <w:t>企业端</w:t>
      </w:r>
      <w:r>
        <w:t>”</w:t>
      </w:r>
      <w:r>
        <w:t>作为提升特种设备安全智慧监管的重要手段。</w:t>
      </w:r>
    </w:p>
    <w:p w:rsidR="006F17BB" w:rsidRDefault="006F17BB" w:rsidP="006F17BB">
      <w:pPr>
        <w:ind w:firstLineChars="200" w:firstLine="420"/>
      </w:pPr>
      <w:r>
        <w:rPr>
          <w:rFonts w:hint="eastAsia"/>
        </w:rPr>
        <w:t>监管守住底线</w:t>
      </w:r>
    </w:p>
    <w:p w:rsidR="006F17BB" w:rsidRDefault="006F17BB" w:rsidP="006F17BB">
      <w:pPr>
        <w:ind w:firstLineChars="200" w:firstLine="420"/>
      </w:pPr>
      <w:r>
        <w:rPr>
          <w:rFonts w:hint="eastAsia"/>
        </w:rPr>
        <w:t>蓬莱区市场监管局深入排查治理特种设备安全隐患，不断压实特种设备使用单位安全主体责任，守牢特种设备安全底线。一是持之以恒抓好使用登记和定期检验，重点排查锅炉换热容器和非锅炉本体管道、起重机械等设备漏登情况；督导使用单位在特种设备检验预警期内履行报检义务，坚决消除设备超期未检隐患，超期设备一律停用，存在严重事故隐患的依法封停。常态化做到特种设备“应登尽登”“应检尽检”。二是坚决落实《特种设备安全监督检查办法》及实施意见要求，加强日常监督检查，规范监督检查程序、检查项目和内容。三是突出重点领域和薄弱环节，巩固特种设备监管领域安全大检查工作成效，并有针对性地推进公用燃气管道、高风险压力容器、小型锅炉、电梯等专项整治行动，加大隐患排查整治力度，防范化解系统性、区域性安全风险，筑牢特种设备安全底线。</w:t>
      </w:r>
    </w:p>
    <w:p w:rsidR="006F17BB" w:rsidRDefault="006F17BB" w:rsidP="006F17BB">
      <w:pPr>
        <w:ind w:firstLineChars="200" w:firstLine="420"/>
      </w:pPr>
      <w:r>
        <w:rPr>
          <w:rFonts w:hint="eastAsia"/>
        </w:rPr>
        <w:t>强化队伍建设</w:t>
      </w:r>
    </w:p>
    <w:p w:rsidR="006F17BB" w:rsidRDefault="006F17BB" w:rsidP="006F17BB">
      <w:pPr>
        <w:ind w:firstLineChars="200" w:firstLine="420"/>
      </w:pPr>
      <w:r>
        <w:rPr>
          <w:rFonts w:hint="eastAsia"/>
        </w:rPr>
        <w:t>加强队伍建设，强化专业监管。加强基层履职能力建设和监察员队伍建设。组织监察员取证及监管骨干实务培训，营造比学赶超氛围，培育勇于担当、爱岗敬业的监管队伍。强化责任担当意识，树立“严真细实快”工作作风。</w:t>
      </w:r>
    </w:p>
    <w:p w:rsidR="006F17BB" w:rsidRDefault="006F17BB" w:rsidP="00345578">
      <w:pPr>
        <w:jc w:val="right"/>
      </w:pPr>
      <w:r>
        <w:rPr>
          <w:rFonts w:hint="eastAsia"/>
        </w:rPr>
        <w:t>大小新闻网</w:t>
      </w:r>
      <w:r>
        <w:rPr>
          <w:rFonts w:hint="eastAsia"/>
        </w:rPr>
        <w:t>2023-8-23</w:t>
      </w:r>
    </w:p>
    <w:p w:rsidR="006F17BB" w:rsidRDefault="006F17BB" w:rsidP="00D156DC">
      <w:pPr>
        <w:sectPr w:rsidR="006F17BB" w:rsidSect="00D156DC">
          <w:type w:val="continuous"/>
          <w:pgSz w:w="11906" w:h="16838"/>
          <w:pgMar w:top="1644" w:right="1236" w:bottom="1418" w:left="1814" w:header="851" w:footer="907" w:gutter="0"/>
          <w:pgNumType w:start="1"/>
          <w:cols w:space="720"/>
          <w:docGrid w:type="lines" w:linePitch="341" w:charSpace="2373"/>
        </w:sectPr>
      </w:pPr>
    </w:p>
    <w:p w:rsidR="00D03126" w:rsidRDefault="00D03126"/>
    <w:sectPr w:rsidR="00D031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17BB"/>
    <w:rsid w:val="006F17BB"/>
    <w:rsid w:val="00D031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17B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17B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941</Characters>
  <Application>Microsoft Office Word</Application>
  <DocSecurity>0</DocSecurity>
  <Lines>7</Lines>
  <Paragraphs>2</Paragraphs>
  <ScaleCrop>false</ScaleCrop>
  <Company>Microsoft</Company>
  <LinksUpToDate>false</LinksUpToDate>
  <CharactersWithSpaces>1103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2023-08-24T09:30:00Z</dcterms:created>
</cp:coreProperties>
</file>