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0F36" w:rsidRDefault="00B20F36" w:rsidP="00327C1D">
      <w:pPr>
        <w:pStyle w:val="1"/>
      </w:pPr>
      <w:r w:rsidRPr="00327C1D">
        <w:rPr>
          <w:rFonts w:hint="eastAsia"/>
        </w:rPr>
        <w:t>山东泰安政法机关提升法治化营商环境护航新型工业化强市建设</w:t>
      </w:r>
    </w:p>
    <w:p w:rsidR="00B20F36" w:rsidRDefault="00B20F36" w:rsidP="00B20F36">
      <w:pPr>
        <w:ind w:firstLineChars="200" w:firstLine="420"/>
      </w:pPr>
      <w:r>
        <w:rPr>
          <w:rFonts w:hint="eastAsia"/>
        </w:rPr>
        <w:t>制定出台政法机关护航新型工业化强市建设</w:t>
      </w:r>
      <w:r>
        <w:t>36</w:t>
      </w:r>
      <w:r>
        <w:t>条具体举措，组建产业链政法服务专员队伍，建立政法机关护航企业直通联系点，打造优化法治化营商环境服务平台</w:t>
      </w:r>
      <w:r>
        <w:t>24</w:t>
      </w:r>
      <w:r>
        <w:t>小时为企业纾困解忧</w:t>
      </w:r>
      <w:r>
        <w:t>……</w:t>
      </w:r>
      <w:r>
        <w:t>今年以来，山东省泰安市政法机关聚焦新型工业化强市建设，在提升法治化营商环境上下功夫、出实招，做好优化营商环境</w:t>
      </w:r>
      <w:r>
        <w:t>“</w:t>
      </w:r>
      <w:r>
        <w:t>法治</w:t>
      </w:r>
      <w:r>
        <w:t>+”</w:t>
      </w:r>
      <w:r>
        <w:t>文章，把政法服务建在产业链上、落在办实事上，让企业在实实在在的服务举措中感受到法治化营商环境的持续提升。</w:t>
      </w:r>
    </w:p>
    <w:p w:rsidR="00B20F36" w:rsidRDefault="00B20F36" w:rsidP="00B20F36">
      <w:pPr>
        <w:ind w:firstLineChars="200" w:firstLine="420"/>
      </w:pPr>
      <w:r>
        <w:rPr>
          <w:rFonts w:hint="eastAsia"/>
        </w:rPr>
        <w:t>“企业在发展中需要什么样的政法服务，我们就提供什么样的服务。全市政法机关聚焦企业所需所盼，不断增强服务企业的针对性、精准性和实效性，通过协同联动、一体提升法治化营商环境，切实帮助企业解决难题，以实际行动护航新型工业化强市建设。”泰安市委政法委分管日常工作的副书记杨成栋在接受《法治日报》记者采访时说。</w:t>
      </w:r>
    </w:p>
    <w:p w:rsidR="00B20F36" w:rsidRDefault="00B20F36" w:rsidP="00B20F36">
      <w:pPr>
        <w:ind w:firstLineChars="200" w:firstLine="420"/>
      </w:pPr>
      <w:r>
        <w:rPr>
          <w:rFonts w:hint="eastAsia"/>
        </w:rPr>
        <w:t>标准引领执法司法规范高效</w:t>
      </w:r>
    </w:p>
    <w:p w:rsidR="00B20F36" w:rsidRDefault="00B20F36" w:rsidP="00B20F36">
      <w:pPr>
        <w:ind w:firstLineChars="200" w:firstLine="420"/>
      </w:pPr>
      <w:r>
        <w:rPr>
          <w:rFonts w:hint="eastAsia"/>
        </w:rPr>
        <w:t>泰安市以标准为引领，建设权责一致、高效运行的执法司法权力运行体系作为提升法治化营商环境的最优选项。制定《泰安市政法机关执法司法责任体系建设任务清单》，编制发布山东省首个市级地方标准《政法机关执法司法责任体系建设指南》（以下简称《建设指南》），涵盖总则、组织体系、任务体系、智能化保障体系等内容，用可操作、可复制、可检验的标准化方式，明确梳理出涵盖党委政法委、人民法院、人民检察院、公安机关、司法行政机关、国家安全机关的主体责任和具体工作任务</w:t>
      </w:r>
      <w:r>
        <w:t>240</w:t>
      </w:r>
      <w:r>
        <w:t>项。</w:t>
      </w:r>
      <w:r>
        <w:t>“</w:t>
      </w:r>
      <w:r>
        <w:t>以标准规范为导向，以落实标准为目标，以明责定责、问责追责为着</w:t>
      </w:r>
      <w:r>
        <w:rPr>
          <w:rFonts w:hint="eastAsia"/>
        </w:rPr>
        <w:t>力点，以担责尽责、忠诚履责为落脚点，构建贯通政治、办案、监管、队伍管理一体化责任链条，形成有权必有责、用权必担责、失职必问责的制度机制，为执法司法规范化运行提供了工作指引，为规范执法司法行为，持续推进严格执法、公正司法，引导政法干警履职尽责提供了制度支撑，有力提升执法司法质效和公信力，营造公平正义的法治环境。”泰安市委政法委副书记洪勇表示。</w:t>
      </w:r>
    </w:p>
    <w:p w:rsidR="00B20F36" w:rsidRDefault="00B20F36" w:rsidP="00B20F36">
      <w:pPr>
        <w:ind w:firstLineChars="200" w:firstLine="420"/>
      </w:pPr>
      <w:r>
        <w:rPr>
          <w:rFonts w:hint="eastAsia"/>
        </w:rPr>
        <w:t>同时，强化智慧赋能，泰安市委政法委制定《政法机关执法司法责任体系智能服务平台技术规范》配套标准，通过研发建设执法司法责任体系智能服务平台，从办案流程“智管”、办案数据“智享”、办案质效“智评”三个方面，加强政法跨部门大数据协同办案平台应用、完善政法部门间数据交换共享机制等举措，推动任务运行、责任监督、效果考核网上全过程流转，拓宽监督管理、评价、追责智能化路径，实现职责任务数字化、可视化、代码化，形成穿透式、智慧化监督模式，着力打造明责、履责、考责、追责工作闭环。</w:t>
      </w:r>
    </w:p>
    <w:p w:rsidR="00B20F36" w:rsidRDefault="00B20F36" w:rsidP="00B20F36">
      <w:pPr>
        <w:ind w:firstLineChars="200" w:firstLine="420"/>
      </w:pPr>
      <w:r>
        <w:rPr>
          <w:rFonts w:hint="eastAsia"/>
        </w:rPr>
        <w:t>凝聚合力法治需求快速响应</w:t>
      </w:r>
    </w:p>
    <w:p w:rsidR="00B20F36" w:rsidRDefault="00B20F36" w:rsidP="00B20F36">
      <w:pPr>
        <w:ind w:firstLineChars="200" w:firstLine="420"/>
      </w:pPr>
      <w:r>
        <w:rPr>
          <w:rFonts w:hint="eastAsia"/>
        </w:rPr>
        <w:t>警务中心、律师点将台……在肥城市建安总部经济区政法服务先行区，企业足不出户即可享受到便捷高效的政法服务。</w:t>
      </w:r>
    </w:p>
    <w:p w:rsidR="00B20F36" w:rsidRDefault="00B20F36" w:rsidP="00B20F36">
      <w:pPr>
        <w:ind w:firstLineChars="200" w:firstLine="420"/>
      </w:pPr>
      <w:r>
        <w:rPr>
          <w:rFonts w:hint="eastAsia"/>
        </w:rPr>
        <w:t>肥城市是全国知名的“建筑安装之乡”，有建安企业</w:t>
      </w:r>
      <w:r>
        <w:t>200</w:t>
      </w:r>
      <w:r>
        <w:t>余家，施工遍布国内外，</w:t>
      </w:r>
      <w:r>
        <w:t>2022</w:t>
      </w:r>
      <w:r>
        <w:t>年完成建筑业产值达</w:t>
      </w:r>
      <w:r>
        <w:t>893.2</w:t>
      </w:r>
      <w:r>
        <w:t>亿元。为全力护航建安业发展，肥城市委政法委在建安总部经济区创新设立政法服务先行区，以集中派驻、协同办公方式为企业发展提供近距离、上门式服务。今年以来，已快速受理、高效办结建安企业涉法诉求</w:t>
      </w:r>
      <w:r>
        <w:t>300</w:t>
      </w:r>
      <w:r>
        <w:t>余件。</w:t>
      </w:r>
    </w:p>
    <w:p w:rsidR="00B20F36" w:rsidRDefault="00B20F36" w:rsidP="00B20F36">
      <w:pPr>
        <w:ind w:firstLineChars="200" w:firstLine="420"/>
      </w:pPr>
      <w:r>
        <w:rPr>
          <w:rFonts w:hint="eastAsia"/>
        </w:rPr>
        <w:t>这是泰安市为企业提供“一站式”政法服务、提升法治化营商环境的一个缩影。泰安市着力构建高质量法治营商环境服务保障工作体系，市级层面成立政法机关提升法治化营商环境专项领导小组，各县市区成立相应的领导机构和办事机构，形成市县一体推进、相关部门共同参与的法治需求快速响应“一盘棋”工作格局。</w:t>
      </w:r>
    </w:p>
    <w:p w:rsidR="00B20F36" w:rsidRDefault="00B20F36" w:rsidP="00B20F36">
      <w:pPr>
        <w:ind w:firstLineChars="200" w:firstLine="420"/>
      </w:pPr>
      <w:r>
        <w:rPr>
          <w:rFonts w:hint="eastAsia"/>
        </w:rPr>
        <w:t>今年，泰安市印发《全市政法机关提升法治化营商环境护航新型工业化强市建设工作措施》，推出“法律进企业”、建立助企服务绿色通道等</w:t>
      </w:r>
      <w:r>
        <w:t>36</w:t>
      </w:r>
      <w:r>
        <w:t>项措施。其中，建立</w:t>
      </w:r>
      <w:r>
        <w:t>“</w:t>
      </w:r>
      <w:r>
        <w:t>产业链</w:t>
      </w:r>
      <w:r>
        <w:t>+</w:t>
      </w:r>
      <w:r>
        <w:t>政法服务专员</w:t>
      </w:r>
      <w:r>
        <w:t>”</w:t>
      </w:r>
      <w:r>
        <w:t>机制，从政法单位选派</w:t>
      </w:r>
      <w:r>
        <w:t>52</w:t>
      </w:r>
      <w:r>
        <w:t>名领导干部担任</w:t>
      </w:r>
      <w:r>
        <w:t>“</w:t>
      </w:r>
      <w:r>
        <w:t>政法服务专员</w:t>
      </w:r>
      <w:r>
        <w:t>”</w:t>
      </w:r>
      <w:r>
        <w:t>，分别对接联系</w:t>
      </w:r>
      <w:r>
        <w:t>13</w:t>
      </w:r>
      <w:r>
        <w:t>条产业链，并为产业链配备法律服务专班，凝聚法治队伍合力，为企业提供</w:t>
      </w:r>
      <w:r>
        <w:t>“</w:t>
      </w:r>
      <w:r>
        <w:t>移动式</w:t>
      </w:r>
      <w:r>
        <w:t>”“</w:t>
      </w:r>
      <w:r>
        <w:t>组团式</w:t>
      </w:r>
      <w:r>
        <w:t>”</w:t>
      </w:r>
      <w:r>
        <w:t>服务，已深入</w:t>
      </w:r>
      <w:r>
        <w:t>107</w:t>
      </w:r>
      <w:r>
        <w:t>家企业提供</w:t>
      </w:r>
      <w:r>
        <w:t>“</w:t>
      </w:r>
      <w:r>
        <w:t>一站式</w:t>
      </w:r>
      <w:r>
        <w:t>”</w:t>
      </w:r>
      <w:r>
        <w:t>解决方案</w:t>
      </w:r>
      <w:r>
        <w:t>58</w:t>
      </w:r>
      <w:r>
        <w:t>件次，帮助企业挽回或减免损失</w:t>
      </w:r>
      <w:r>
        <w:t>2.2</w:t>
      </w:r>
      <w:r>
        <w:t>亿元。建立全周期</w:t>
      </w:r>
      <w:r>
        <w:t>“</w:t>
      </w:r>
      <w:r>
        <w:t>规范和保障重点建设项目</w:t>
      </w:r>
      <w:r>
        <w:t>”</w:t>
      </w:r>
      <w:r>
        <w:t>工作机制，已跟踪服务重点建设项目</w:t>
      </w:r>
      <w:r>
        <w:t>120</w:t>
      </w:r>
      <w:r>
        <w:t>余个，审查重大合同</w:t>
      </w:r>
      <w:r>
        <w:t>74</w:t>
      </w:r>
      <w:r>
        <w:t>件，提出审查意见</w:t>
      </w:r>
      <w:r>
        <w:t>115</w:t>
      </w:r>
      <w:r>
        <w:t>项，开展企业法治体检、上门服务</w:t>
      </w:r>
      <w:r>
        <w:t>560</w:t>
      </w:r>
      <w:r>
        <w:t>余次，帮助办理调解、仲裁等法律事务</w:t>
      </w:r>
      <w:r>
        <w:t>102</w:t>
      </w:r>
      <w:r>
        <w:t>件，涉及金额</w:t>
      </w:r>
      <w:r>
        <w:t>9900</w:t>
      </w:r>
      <w:r>
        <w:t>余万元。</w:t>
      </w:r>
    </w:p>
    <w:p w:rsidR="00B20F36" w:rsidRDefault="00B20F36" w:rsidP="00B20F36">
      <w:pPr>
        <w:ind w:firstLineChars="200" w:firstLine="420"/>
      </w:pPr>
      <w:r>
        <w:rPr>
          <w:rFonts w:hint="eastAsia"/>
        </w:rPr>
        <w:t>“政法部门集中派驻政法服务专员，为企业提供了很大便利，既免去了到政法单位间的奔波，又能及时得到专业性很强的法律建议，我们建安企业投资积极性更大了，发展信心更足了。”山东军辉建设集团有限公司董事长李军英说。</w:t>
      </w:r>
    </w:p>
    <w:p w:rsidR="00B20F36" w:rsidRDefault="00B20F36" w:rsidP="00B20F36">
      <w:pPr>
        <w:ind w:firstLineChars="200" w:firstLine="420"/>
      </w:pPr>
      <w:r>
        <w:rPr>
          <w:rFonts w:hint="eastAsia"/>
        </w:rPr>
        <w:t>二维码直联直通服务更精准</w:t>
      </w:r>
    </w:p>
    <w:p w:rsidR="00B20F36" w:rsidRDefault="00B20F36" w:rsidP="00B20F36">
      <w:pPr>
        <w:ind w:firstLineChars="200" w:firstLine="420"/>
      </w:pPr>
      <w:r>
        <w:rPr>
          <w:rFonts w:hint="eastAsia"/>
        </w:rPr>
        <w:t>山东某工程公司、山东某公司是泰安市医药及医疗器械产业链上的重点企业。因两企业陷入委托开发合同、股东出资纠纷等系列案件，涉及山东、安徽两地法院，相关账户被冻结，对企业生产经营产生不利影响。</w:t>
      </w:r>
    </w:p>
    <w:p w:rsidR="00B20F36" w:rsidRDefault="00B20F36" w:rsidP="00B20F36">
      <w:pPr>
        <w:ind w:firstLineChars="200" w:firstLine="420"/>
      </w:pPr>
      <w:r>
        <w:rPr>
          <w:rFonts w:hint="eastAsia"/>
        </w:rPr>
        <w:t>“扫码反映诉求。”作为泰安市政法机关护航企业直通联系点之一，山东某工程公司负责人当即决定通过扫码反映企业遇到的困难。承办法官了解情况后，认为调解是处理该系列案件、助推产业链企业健康发展最好的方式。后经法官线上、线下多次反复沟通，算法律账、风险账、成本账、信誉账，各方当事人最终达成调解协议，横跨山东、安徽两省的该系列案件得以实质化解，各方当事人握手言和，最大限度降低司法活动对企业经营造成的影响。</w:t>
      </w:r>
    </w:p>
    <w:p w:rsidR="00B20F36" w:rsidRDefault="00B20F36" w:rsidP="00B20F36">
      <w:pPr>
        <w:ind w:firstLineChars="200" w:firstLine="420"/>
      </w:pPr>
      <w:r>
        <w:rPr>
          <w:rFonts w:hint="eastAsia"/>
        </w:rPr>
        <w:t>“链上”企业有困难，既能找政法服务专员寻求帮助，也能通过扫描护航企业二维码方式直联直通政法机关，这得益于泰安市创新的“一点一码一平台”服务。</w:t>
      </w:r>
    </w:p>
    <w:p w:rsidR="00B20F36" w:rsidRDefault="00B20F36" w:rsidP="00B20F36">
      <w:pPr>
        <w:ind w:firstLineChars="200" w:firstLine="420"/>
      </w:pPr>
      <w:r>
        <w:rPr>
          <w:rFonts w:hint="eastAsia"/>
        </w:rPr>
        <w:t>泰安市在全省率先建立实施优化法治化营商环境监测机制，在</w:t>
      </w:r>
      <w:r>
        <w:t>253</w:t>
      </w:r>
      <w:r>
        <w:t>家国企、私企、协会、商会、</w:t>
      </w:r>
      <w:r>
        <w:t>13</w:t>
      </w:r>
      <w:r>
        <w:t>条产业链重点企业、上市</w:t>
      </w:r>
      <w:r>
        <w:t>“</w:t>
      </w:r>
      <w:r>
        <w:t>种子企业</w:t>
      </w:r>
      <w:r>
        <w:t>”</w:t>
      </w:r>
      <w:r>
        <w:t>建立直通联系点，搭建政企沟通平台，及时了解优化法治化营商环境措施落实情况，接收企业涉法诉求。打造法治化营商环境服务诉求二维码平台，向企业公布专门诉求服务二维码，企业扫码即可向平台反映相关法治需求或投诉举报。平台</w:t>
      </w:r>
      <w:r>
        <w:t>24</w:t>
      </w:r>
      <w:r>
        <w:t>小时内分析研判，分流处置企业单位的法治诉求，并建立健全受理、转办、督办、反馈闭环机制，确保事事有着落，件件有回音。目前接收企业诉求</w:t>
      </w:r>
      <w:r>
        <w:t>62</w:t>
      </w:r>
      <w:r>
        <w:t>件，已通过专项督办、召开协调会、联席会推</w:t>
      </w:r>
      <w:r>
        <w:rPr>
          <w:rFonts w:hint="eastAsia"/>
        </w:rPr>
        <w:t>动解决一批涉企问题。同时，平台直接链接公、检、法、司各单位的服务公众号，可同时获得政法机关提供的法律咨询、风险防控、报警投诉、证照办理、案件查询等全面精准、优质高效的法律服务，有效实现了快速响应涉企服务诉求，提升服务质量。</w:t>
      </w:r>
    </w:p>
    <w:p w:rsidR="00B20F36" w:rsidRDefault="00B20F36" w:rsidP="00327C1D">
      <w:pPr>
        <w:jc w:val="right"/>
      </w:pPr>
      <w:r w:rsidRPr="00327C1D">
        <w:rPr>
          <w:rFonts w:hint="eastAsia"/>
        </w:rPr>
        <w:t>法治日报</w:t>
      </w:r>
      <w:r>
        <w:rPr>
          <w:rFonts w:hint="eastAsia"/>
        </w:rPr>
        <w:t xml:space="preserve"> 2023-8-22</w:t>
      </w:r>
    </w:p>
    <w:p w:rsidR="00B20F36" w:rsidRDefault="00B20F36" w:rsidP="0073605D">
      <w:pPr>
        <w:sectPr w:rsidR="00B20F36" w:rsidSect="0073605D">
          <w:type w:val="continuous"/>
          <w:pgSz w:w="11906" w:h="16838"/>
          <w:pgMar w:top="1644" w:right="1236" w:bottom="1418" w:left="1814" w:header="851" w:footer="907" w:gutter="0"/>
          <w:pgNumType w:start="1"/>
          <w:cols w:space="720"/>
          <w:docGrid w:type="lines" w:linePitch="341" w:charSpace="2373"/>
        </w:sectPr>
      </w:pPr>
    </w:p>
    <w:p w:rsidR="00AD0650" w:rsidRDefault="00AD0650"/>
    <w:sectPr w:rsidR="00AD065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20F36"/>
    <w:rsid w:val="00AD0650"/>
    <w:rsid w:val="00B20F3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20F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20F3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388</Words>
  <Characters>2213</Characters>
  <Application>Microsoft Office Word</Application>
  <DocSecurity>0</DocSecurity>
  <Lines>18</Lines>
  <Paragraphs>5</Paragraphs>
  <ScaleCrop>false</ScaleCrop>
  <Company>Microsoft</Company>
  <LinksUpToDate>false</LinksUpToDate>
  <CharactersWithSpaces>2596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2023-08-30T05:50:00Z</dcterms:created>
</cp:coreProperties>
</file>