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366E" w:rsidRDefault="00EA366E" w:rsidP="002107F9">
      <w:pPr>
        <w:pStyle w:val="1"/>
      </w:pPr>
      <w:r w:rsidRPr="002107F9">
        <w:rPr>
          <w:rFonts w:hint="eastAsia"/>
        </w:rPr>
        <w:t>湖南银行</w:t>
      </w:r>
      <w:r>
        <w:rPr>
          <w:rFonts w:hint="eastAsia"/>
        </w:rPr>
        <w:t>：</w:t>
      </w:r>
      <w:r w:rsidRPr="002107F9">
        <w:rPr>
          <w:rFonts w:hint="eastAsia"/>
        </w:rPr>
        <w:t>在服务现代化新湖南进程中展现金融担当和作为</w:t>
      </w:r>
    </w:p>
    <w:p w:rsidR="00EA366E" w:rsidRDefault="00EA366E" w:rsidP="00EA366E">
      <w:pPr>
        <w:ind w:firstLineChars="200" w:firstLine="420"/>
      </w:pPr>
      <w:r>
        <w:rPr>
          <w:rFonts w:hint="eastAsia"/>
        </w:rPr>
        <w:t>金融是国之重器，是国家重要的核心竞争力。湖南银行是我省唯一省级法人银行，承载着做大做强地方金融的重大职责，也担负着更有力、更精准支持地方经济的重大使命。揭牌以来，湖南银行坚持金融工作政治性、人民性、专业性，坚守“服务本地、服务小微、服务市民”定位，实施“本土化经营、市场化发展”策略，以“开局就加速、起步即起势”的精气神，加快主业升级发展，推动结构调整提效，更加审慎管理风险，各项工作稳中有进，实现开门红、开门稳。</w:t>
      </w:r>
    </w:p>
    <w:p w:rsidR="00EA366E" w:rsidRDefault="00EA366E" w:rsidP="00EA366E">
      <w:pPr>
        <w:ind w:firstLineChars="200" w:firstLine="420"/>
      </w:pPr>
      <w:r>
        <w:rPr>
          <w:rFonts w:hint="eastAsia"/>
        </w:rPr>
        <w:t>从</w:t>
      </w:r>
      <w:r>
        <w:t>2023</w:t>
      </w:r>
      <w:r>
        <w:t>年上半年主要业务指标来看，呈现了</w:t>
      </w:r>
      <w:r>
        <w:t>“</w:t>
      </w:r>
      <w:r>
        <w:t>五升三降</w:t>
      </w:r>
      <w:r>
        <w:t>”</w:t>
      </w:r>
      <w:r>
        <w:t>的良好发展态势，即</w:t>
      </w:r>
      <w:r>
        <w:t>“</w:t>
      </w:r>
      <w:r>
        <w:t>资产、存款、贷款、营收、利润</w:t>
      </w:r>
      <w:r>
        <w:t>”</w:t>
      </w:r>
      <w:r>
        <w:t>稳步上升；</w:t>
      </w:r>
      <w:r>
        <w:t>“</w:t>
      </w:r>
      <w:r>
        <w:t>不良率、逾期率、不良生成率</w:t>
      </w:r>
      <w:r>
        <w:t>”</w:t>
      </w:r>
      <w:r>
        <w:t>逐步下降。截至</w:t>
      </w:r>
      <w:r>
        <w:t>6</w:t>
      </w:r>
      <w:r>
        <w:t>月末，资产总额</w:t>
      </w:r>
      <w:r>
        <w:t>4962.61</w:t>
      </w:r>
      <w:r>
        <w:t>亿元，接近</w:t>
      </w:r>
      <w:r>
        <w:t>5000</w:t>
      </w:r>
      <w:r>
        <w:t>亿元大关。今年上半年，各项存款新增</w:t>
      </w:r>
      <w:r>
        <w:t>406.48</w:t>
      </w:r>
      <w:r>
        <w:t>亿元，各项贷款实际新增</w:t>
      </w:r>
      <w:r>
        <w:t>343</w:t>
      </w:r>
      <w:r>
        <w:t>亿元（压降票据融资和合作贷款</w:t>
      </w:r>
      <w:r>
        <w:t>95</w:t>
      </w:r>
      <w:r>
        <w:t>亿元），存贷款增速高于全省行业平均水平。实现营业收入</w:t>
      </w:r>
      <w:r>
        <w:t>58.9</w:t>
      </w:r>
      <w:r>
        <w:t>亿元，净利润</w:t>
      </w:r>
      <w:r>
        <w:t>18.99</w:t>
      </w:r>
      <w:r>
        <w:t>亿元，缴纳税收</w:t>
      </w:r>
      <w:r>
        <w:t>11.37</w:t>
      </w:r>
      <w:r>
        <w:t>亿元。不良贷款率、全口径逾期率、年化不良生成率分别较年初下降</w:t>
      </w:r>
      <w:r>
        <w:t>0.06</w:t>
      </w:r>
      <w:r>
        <w:t>、</w:t>
      </w:r>
      <w:r>
        <w:t>0.28</w:t>
      </w:r>
      <w:r>
        <w:t>、</w:t>
      </w:r>
      <w:r>
        <w:t>0.89</w:t>
      </w:r>
      <w:r>
        <w:t>个百分</w:t>
      </w:r>
      <w:r>
        <w:rPr>
          <w:rFonts w:hint="eastAsia"/>
        </w:rPr>
        <w:t>点，风险呈现明显收敛。主要指标均符合监管要求，连续获评湖南省“平安单位”、主体信用</w:t>
      </w:r>
      <w:r>
        <w:t>AAA</w:t>
      </w:r>
      <w:r>
        <w:t>最高级别、金融消费者权益保护</w:t>
      </w:r>
      <w:r>
        <w:t>A</w:t>
      </w:r>
      <w:r>
        <w:t>类行和湖南企业</w:t>
      </w:r>
      <w:r>
        <w:t>100</w:t>
      </w:r>
      <w:r>
        <w:t>强、服务业</w:t>
      </w:r>
      <w:r>
        <w:t>50</w:t>
      </w:r>
      <w:r>
        <w:t>强。</w:t>
      </w:r>
    </w:p>
    <w:p w:rsidR="00EA366E" w:rsidRDefault="00EA366E" w:rsidP="00EA366E">
      <w:pPr>
        <w:ind w:firstLineChars="200" w:firstLine="420"/>
      </w:pPr>
      <w:r>
        <w:rPr>
          <w:rFonts w:hint="eastAsia"/>
        </w:rPr>
        <w:t>湖南银行将深入学习贯彻党的二十大精神，扎根三湘，建功湖南，锚定“三高四新”美好蓝图，聚焦打好“发展六仗”，努力当好城商银行创新者、金融湘军排头兵、服务三湘生力军，为奋力建设新时代社会主义现代化新湖南贡献金融力量。</w:t>
      </w:r>
    </w:p>
    <w:p w:rsidR="00EA366E" w:rsidRDefault="00EA366E" w:rsidP="00EA366E">
      <w:pPr>
        <w:ind w:firstLineChars="200" w:firstLine="420"/>
      </w:pPr>
      <w:r>
        <w:rPr>
          <w:rFonts w:hint="eastAsia"/>
        </w:rPr>
        <w:t>主动进位加快发展。湖南银行寄托着省委、省政府的重大期待，加快发展是工作重中之重。加力提速发展总量。实施分支行提升能力工程，逐家制定升级提效计划，全行各条线、各分行同向发力、四面开花。压缩省外业务，运用投贷联动、产业基金、新型资产工具，全面向省内重点领域倾斜服务资源，加大表内贷款占比，加大供应链融资占比，加大信用债投资占比，确保在省内的贷款和投资均衡有序增长。上下联动增厚客群。坚持以客户为中心，全力夯实客群，优化内部组织，加强总分支三级联动。紧贴政府发展战略，争取政府资质账户，完善产业研究、企业走访机制，增强数字获客、供应链获客、公私联动获客能力，力争五年实现服务客群总量翻番，无愧于“湖南人的银行”这一称号。突出重点培育机构。全面加强总对总连接，提升总行对省级机关、企事业单位和中央驻湘单位的对接与服务。服务“强长沙”战略，建强长沙地区机构，扩展市场营销力量。推进分行机关改革，优化提升市场能力，培育其成为当地主要金融力量。全面提升县域支行产能，在经济发达县域增设机构，在未设机构的县域有序设立网点，填补服务空白。</w:t>
      </w:r>
    </w:p>
    <w:p w:rsidR="00EA366E" w:rsidRDefault="00EA366E" w:rsidP="00EA366E">
      <w:pPr>
        <w:ind w:firstLineChars="200" w:firstLine="420"/>
      </w:pPr>
      <w:r>
        <w:rPr>
          <w:rFonts w:hint="eastAsia"/>
        </w:rPr>
        <w:t>创新促进结构调整。围绕湖南战略布局优化结构，做强主业，不断创新，全力支持经济稳增长。做好政府银行。锚定湖南“发展六仗”“稳增长</w:t>
      </w:r>
      <w:r>
        <w:t>20</w:t>
      </w:r>
      <w:r>
        <w:t>条</w:t>
      </w:r>
      <w:r>
        <w:t>”</w:t>
      </w:r>
      <w:r>
        <w:t>，主动对接重点产业、重点工程、重点项目，加大对</w:t>
      </w:r>
      <w:r>
        <w:t>“3+3+2”</w:t>
      </w:r>
      <w:r>
        <w:t>产业集群、</w:t>
      </w:r>
      <w:r>
        <w:t>22</w:t>
      </w:r>
      <w:r>
        <w:t>条优势产业链，以及</w:t>
      </w:r>
      <w:r>
        <w:t>“</w:t>
      </w:r>
      <w:r>
        <w:t>四个十大</w:t>
      </w:r>
      <w:r>
        <w:t>”“</w:t>
      </w:r>
      <w:r>
        <w:t>五大领域基础设施</w:t>
      </w:r>
      <w:r>
        <w:t>”</w:t>
      </w:r>
      <w:r>
        <w:t>等优质项目的信贷投放，提高制造业信贷比重，加大对绿色低碳产业、战略性新兴产业、</w:t>
      </w:r>
      <w:r>
        <w:t>“</w:t>
      </w:r>
      <w:r>
        <w:t>卡脖子</w:t>
      </w:r>
      <w:r>
        <w:t>”</w:t>
      </w:r>
      <w:r>
        <w:t>产业链的支持。持续深化政银合作，积极支持政府化债工作，继续降低融资成本。做好企业银行。全面对接湖南</w:t>
      </w:r>
      <w:r>
        <w:t>“</w:t>
      </w:r>
      <w:r>
        <w:t>万千百</w:t>
      </w:r>
      <w:r>
        <w:t>”</w:t>
      </w:r>
      <w:r>
        <w:t>工程，优化完善重点行业信贷政策和产品体系，创新普惠金融、绿</w:t>
      </w:r>
      <w:r>
        <w:rPr>
          <w:rFonts w:hint="eastAsia"/>
        </w:rPr>
        <w:t>色金融、科创金融、供应链金融，重点突破储能材料、电子信息、旅游、清洁能源等领域，研发项目运营期贷款、上市贷、投联贷等特色产品。加大“知识价值信用贷”投放，探索推出线上“流水贷”，推广“见保即贷”。做好市民银行。把握扩大内需战略，按照“系列化、移动化、智能化、生态化、差异化”原则，开发推广个人负债、资产、财富、场景四大类产品。围绕“吃穿住行”，提升线上支付和场景服务，研发养老储蓄、个人养老金业务，做强消费信贷，做大“房抵贷”规模，努力实现对绝大多数零售产品的线上一站式运营，打造“湖南人的随身金融管家”。</w:t>
      </w:r>
    </w:p>
    <w:p w:rsidR="00EA366E" w:rsidRDefault="00EA366E" w:rsidP="00EA366E">
      <w:pPr>
        <w:ind w:firstLineChars="200" w:firstLine="420"/>
      </w:pPr>
      <w:r>
        <w:rPr>
          <w:rFonts w:hint="eastAsia"/>
        </w:rPr>
        <w:t>着力强化风险内控。牢固树立“风险优先”文化，创新风险识别手段，更新风险控制理念，加强风险管理专业化建设。加强重点管控。坚持底线思维、问题导向，增强忧患意识，不断完善全面风险管理体系，提升风险防控的整体性和有效性。对授信集中度、关联交易、限控行业信贷实施审慎的限额管理，强化大额风险暴露管控。及时预警和处置流动性风险、操作风险、声誉风险等重点领域风险，坚决守住不发生系统性、区域性风险的底线。压实风险责任。按照风险与资本、收益相匹配原则，合理确定风险偏好。加强宏观控制，强化逆周期风险调节，优化风险资产组合，加快建立全面风险管理、全流程风险控制、全岗位责任落实机制。推行信用风险预期损失法，把贷款迁徙率和不良贷款新生率作为核心管理指标，把风险监测和处置关口前移至事前事中。强化内部控制。完善授权体系，增强制度刚性控制。完善前台作业控制、中台风险管理、审计监察监督“三道防线”，加强员工回避、轮岗、交流和八小时以外行为管理。加强案防和操作风险管控，强化各类检查发现问题整改。倡导“全员降本”，严肃财经纪律，节约运营成本，非必要支出应减尽减。</w:t>
      </w:r>
    </w:p>
    <w:p w:rsidR="00EA366E" w:rsidRDefault="00EA366E" w:rsidP="00EA366E">
      <w:pPr>
        <w:ind w:firstLineChars="200" w:firstLine="420"/>
      </w:pPr>
      <w:r>
        <w:rPr>
          <w:rFonts w:hint="eastAsia"/>
        </w:rPr>
        <w:t>推进更深层次改革。坚持和加强党的领导，加快建立符合市场竞争要求的现代企业制度。加强党的建设。扎实推进全面从严治党，层层压实责任、一贯到底，做到内容上全涵盖、对象上全覆盖、责任上全链条、制度上全贯通，忠诚拥护“两个确立”，坚决做到“两个维护”，始终在思想上政治上行动上同以习近平同志为核心的党中央保持高度一致。突出强化班子建设。按照国有企业领导干部的“</w:t>
      </w:r>
      <w:r>
        <w:t>20</w:t>
      </w:r>
      <w:r>
        <w:t>字</w:t>
      </w:r>
      <w:r>
        <w:t>”</w:t>
      </w:r>
      <w:r>
        <w:t>要求，公平、公开、公正选人用人。全面强化对</w:t>
      </w:r>
      <w:r>
        <w:t>“</w:t>
      </w:r>
      <w:r>
        <w:t>一把手</w:t>
      </w:r>
      <w:r>
        <w:t>”</w:t>
      </w:r>
      <w:r>
        <w:t>和领导班子的监督，加强党风廉政建设，严格执行民主集中制和</w:t>
      </w:r>
      <w:r>
        <w:t>“</w:t>
      </w:r>
      <w:r>
        <w:t>三重一大</w:t>
      </w:r>
      <w:r>
        <w:t>”</w:t>
      </w:r>
      <w:r>
        <w:t>决策制度，打造忠诚、干净、担当的领</w:t>
      </w:r>
      <w:r>
        <w:rPr>
          <w:rFonts w:hint="eastAsia"/>
        </w:rPr>
        <w:t>导干部队伍，坚决抵制“特殊论”“例外论”，打造“清廉银行”。优化公司治理体系。将党的领导融入公司治理各个环节，落实党组织在公司治理结构中的法定地位，坚持完善双向进入、交叉任职领导体制。促进以“五位一体”为核心的治理机制规范运作。按照市场化、竞争性、统一性原则，优化内部组织架构。深入实施市场化改革。持续推进“三能”机制建设，能者上、庸者下、平者让，决不容忍躺平、躺赢行为。坚持“人才兴行”，优化队伍结构和人才梯队，加大专业化人才引进力度，建立有利于年轻干部脱颖成长的机制。完善市场化分配机制，一线优先、贡献优先、人才优先，坚决打破“大锅饭”。</w:t>
      </w:r>
    </w:p>
    <w:p w:rsidR="00EA366E" w:rsidRDefault="00EA366E" w:rsidP="002107F9">
      <w:pPr>
        <w:jc w:val="right"/>
      </w:pPr>
      <w:r>
        <w:rPr>
          <w:rFonts w:hint="eastAsia"/>
        </w:rPr>
        <w:t>湖南日报</w:t>
      </w:r>
      <w:r>
        <w:rPr>
          <w:rFonts w:hint="eastAsia"/>
        </w:rPr>
        <w:t>2023-8-20</w:t>
      </w:r>
    </w:p>
    <w:p w:rsidR="00EA366E" w:rsidRDefault="00EA366E" w:rsidP="00CE6E07">
      <w:pPr>
        <w:sectPr w:rsidR="00EA366E" w:rsidSect="00CE6E07">
          <w:type w:val="continuous"/>
          <w:pgSz w:w="11906" w:h="16838"/>
          <w:pgMar w:top="1644" w:right="1236" w:bottom="1418" w:left="1814" w:header="851" w:footer="907" w:gutter="0"/>
          <w:pgNumType w:start="1"/>
          <w:cols w:space="720"/>
          <w:docGrid w:type="lines" w:linePitch="341" w:charSpace="2373"/>
        </w:sectPr>
      </w:pPr>
    </w:p>
    <w:p w:rsidR="00D61952" w:rsidRDefault="00D61952"/>
    <w:sectPr w:rsidR="00D619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366E"/>
    <w:rsid w:val="00D61952"/>
    <w:rsid w:val="00EA36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36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36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2264</Characters>
  <Application>Microsoft Office Word</Application>
  <DocSecurity>0</DocSecurity>
  <Lines>18</Lines>
  <Paragraphs>5</Paragraphs>
  <ScaleCrop>false</ScaleCrop>
  <Company>Microsoft</Company>
  <LinksUpToDate>false</LinksUpToDate>
  <CharactersWithSpaces>2656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2023-08-24T01:16:00Z</dcterms:created>
</cp:coreProperties>
</file>