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72B0" w:rsidRDefault="006C72B0" w:rsidP="006354A4">
      <w:pPr>
        <w:pStyle w:val="1"/>
        <w:spacing w:line="245" w:lineRule="auto"/>
      </w:pPr>
      <w:r w:rsidRPr="00C33658">
        <w:rPr>
          <w:rFonts w:hint="eastAsia"/>
        </w:rPr>
        <w:t>强化技术支撑，构建融合媒体服务新生态</w:t>
      </w:r>
    </w:p>
    <w:p w:rsidR="006C72B0" w:rsidRDefault="006C72B0" w:rsidP="006C72B0">
      <w:pPr>
        <w:spacing w:line="245" w:lineRule="auto"/>
        <w:ind w:firstLineChars="200" w:firstLine="420"/>
      </w:pPr>
      <w:r>
        <w:rPr>
          <w:rFonts w:hint="eastAsia"/>
        </w:rPr>
        <w:t>在行业发展新环境新趋势下，技术平台如何为各级融媒体中心赋能，有何创新理念和发展目标？日前，在第三十届北京国际广播电影电视展览会（</w:t>
      </w:r>
      <w:r>
        <w:t>BIRTV</w:t>
      </w:r>
      <w:r>
        <w:t>）期间举办的</w:t>
      </w:r>
      <w:r>
        <w:t>“</w:t>
      </w:r>
      <w:r>
        <w:t>融媒体中心发展创新论坛</w:t>
      </w:r>
      <w:r>
        <w:t>”</w:t>
      </w:r>
      <w:r>
        <w:t>上，各位专家学者和行业人士进行了深入探讨和精彩分享。</w:t>
      </w:r>
    </w:p>
    <w:p w:rsidR="006C72B0" w:rsidRDefault="006C72B0" w:rsidP="006C72B0">
      <w:pPr>
        <w:spacing w:line="245" w:lineRule="auto"/>
        <w:ind w:firstLineChars="200" w:firstLine="420"/>
      </w:pPr>
      <w:r>
        <w:rPr>
          <w:rFonts w:hint="eastAsia"/>
        </w:rPr>
        <w:t>一、以平台化思维重构媒体生态</w:t>
      </w:r>
    </w:p>
    <w:p w:rsidR="006C72B0" w:rsidRDefault="006C72B0" w:rsidP="006C72B0">
      <w:pPr>
        <w:spacing w:line="245" w:lineRule="auto"/>
        <w:ind w:firstLineChars="200" w:firstLine="420"/>
      </w:pPr>
      <w:r>
        <w:rPr>
          <w:rFonts w:hint="eastAsia"/>
        </w:rPr>
        <w:t>各地将建设云平台作为重要抓手，以技术平台化建设，推进各级融媒体中心深度融合、牵引整体转型，实现资源盘活、流程再造、发展赋能，取得了重要成果。从各技术平台的建设经验来看，首先聚焦和解决的有三个问题。</w:t>
      </w:r>
    </w:p>
    <w:p w:rsidR="006C72B0" w:rsidRDefault="006C72B0" w:rsidP="006C72B0">
      <w:pPr>
        <w:spacing w:line="245" w:lineRule="auto"/>
        <w:ind w:firstLineChars="200" w:firstLine="420"/>
      </w:pPr>
      <w:r>
        <w:rPr>
          <w:rFonts w:hint="eastAsia"/>
        </w:rPr>
        <w:t>一是将传统媒体和新媒体不同板块资源、业务融合贯通。推动内容、渠道、平台、经营、管理等方面的深度融合，充分发挥整体效应，提高媒体资源利用率和融合业务效率。</w:t>
      </w:r>
    </w:p>
    <w:p w:rsidR="006C72B0" w:rsidRDefault="006C72B0" w:rsidP="006C72B0">
      <w:pPr>
        <w:spacing w:line="245" w:lineRule="auto"/>
        <w:ind w:firstLineChars="200" w:firstLine="420"/>
      </w:pPr>
      <w:r>
        <w:rPr>
          <w:rFonts w:hint="eastAsia"/>
        </w:rPr>
        <w:t>二是构建融合化的新闻生产策、采、编、发工作流程。建立“多来源内容汇聚、多媒体制作生产、多渠道内容发布”的全新生产模式，建成制作分发统一平台，实现全流程的业务闭环和内容生产分发的智慧化。</w:t>
      </w:r>
    </w:p>
    <w:p w:rsidR="006C72B0" w:rsidRDefault="006C72B0" w:rsidP="006C72B0">
      <w:pPr>
        <w:spacing w:line="245" w:lineRule="auto"/>
        <w:ind w:firstLineChars="200" w:firstLine="420"/>
      </w:pPr>
      <w:r>
        <w:rPr>
          <w:rFonts w:hint="eastAsia"/>
        </w:rPr>
        <w:t>三是能够灵活应对和满足融合发展的多重业务需求。如江苏广电总台“荔枝云”平台通过构建模块化、低代码、自动化的</w:t>
      </w:r>
      <w:r>
        <w:t>APP</w:t>
      </w:r>
      <w:r>
        <w:t>生产平台，可满足用户个性化和快速迭代的需求，具备可扩展性及开放性，可支持与外部服务的各项接口对接，以及支持第三方开发者及开发模块的入驻。平台具备较强的服务对接能力，充分对接了省政务办、民生、生活、健康、服务、智慧城市、多元化的服务需求，提供</w:t>
      </w:r>
      <w:r>
        <w:t>1300</w:t>
      </w:r>
      <w:r>
        <w:t>余项政务服务和民生应用。</w:t>
      </w:r>
    </w:p>
    <w:p w:rsidR="006C72B0" w:rsidRDefault="006C72B0" w:rsidP="006C72B0">
      <w:pPr>
        <w:spacing w:line="245" w:lineRule="auto"/>
        <w:ind w:firstLineChars="200" w:firstLine="420"/>
      </w:pPr>
      <w:r>
        <w:rPr>
          <w:rFonts w:hint="eastAsia"/>
        </w:rPr>
        <w:t>技术平台化是媒体融合发展的基础，随着云平台业务的不断拓展、集纳和部署的能力越来越多，将构建出丰富的融合媒体服务生态。随着平台生态系统的构建成形，广电主流媒体也呈现出新的发展趋势。</w:t>
      </w:r>
    </w:p>
    <w:p w:rsidR="006C72B0" w:rsidRDefault="006C72B0" w:rsidP="006C72B0">
      <w:pPr>
        <w:spacing w:line="245" w:lineRule="auto"/>
        <w:ind w:firstLineChars="200" w:firstLine="420"/>
      </w:pPr>
      <w:r>
        <w:rPr>
          <w:rFonts w:hint="eastAsia"/>
        </w:rPr>
        <w:t>一是泛资讯</w:t>
      </w:r>
      <w:r>
        <w:t>+</w:t>
      </w:r>
      <w:r>
        <w:t>视频化。视频仍然是当下主要的流量入口，广电媒体加速构建多元化、规模化、体系化、智能化的短、中、长视频生产能力，增强直播互动能力。立足主流媒体职责的同时，愈发注重泛资讯媒体的打造，逐步向全媒体综合性视听平台转型。同时，也注重提升智能化水平，匹配用户需求和兴趣，精准推送资讯信息，提供个性化体验。</w:t>
      </w:r>
    </w:p>
    <w:p w:rsidR="006C72B0" w:rsidRDefault="006C72B0" w:rsidP="006C72B0">
      <w:pPr>
        <w:spacing w:line="245" w:lineRule="auto"/>
        <w:ind w:firstLineChars="200" w:firstLine="420"/>
      </w:pPr>
      <w:r>
        <w:rPr>
          <w:rFonts w:hint="eastAsia"/>
        </w:rPr>
        <w:t>二是发展“媒体</w:t>
      </w:r>
      <w:r>
        <w:t>+</w:t>
      </w:r>
      <w:r>
        <w:t>政务服务商务</w:t>
      </w:r>
      <w:r>
        <w:t>”</w:t>
      </w:r>
      <w:r>
        <w:t>。进一步聚合多方传播资源、市场资源、行政资源、社会资源，构建共生、共创、共享的生态体系，承载生活、服务、社交综合服务能力，打造城市媒体超级入口。</w:t>
      </w:r>
    </w:p>
    <w:p w:rsidR="006C72B0" w:rsidRDefault="006C72B0" w:rsidP="006C72B0">
      <w:pPr>
        <w:spacing w:line="245" w:lineRule="auto"/>
        <w:ind w:firstLineChars="200" w:firstLine="420"/>
      </w:pPr>
      <w:r>
        <w:rPr>
          <w:rFonts w:hint="eastAsia"/>
        </w:rPr>
        <w:t>三是构建区域媒体融合服务新生态。各地省级技术平台为省域各级媒体、各融媒体中心提供技术服务，支撑省市县三级媒体形成“一张网”，初步形成区域媒体服务生态。如陕西广电“秦岭云”平台有效支撑全省</w:t>
      </w:r>
      <w:r>
        <w:t>107</w:t>
      </w:r>
      <w:r>
        <w:t>家县（区）级融媒体中心，实现了省市县三级业务联通。</w:t>
      </w:r>
    </w:p>
    <w:p w:rsidR="006C72B0" w:rsidRDefault="006C72B0" w:rsidP="006C72B0">
      <w:pPr>
        <w:spacing w:line="245" w:lineRule="auto"/>
        <w:ind w:firstLineChars="200" w:firstLine="420"/>
      </w:pPr>
      <w:r>
        <w:rPr>
          <w:rFonts w:hint="eastAsia"/>
        </w:rPr>
        <w:t>二、数据资产化加速推进，</w:t>
      </w:r>
    </w:p>
    <w:p w:rsidR="006C72B0" w:rsidRDefault="006C72B0" w:rsidP="006C72B0">
      <w:pPr>
        <w:spacing w:line="245" w:lineRule="auto"/>
        <w:ind w:firstLineChars="200" w:firstLine="420"/>
      </w:pPr>
      <w:r>
        <w:rPr>
          <w:rFonts w:hint="eastAsia"/>
        </w:rPr>
        <w:t>数媒融合前景广阔</w:t>
      </w:r>
    </w:p>
    <w:p w:rsidR="006C72B0" w:rsidRDefault="006C72B0" w:rsidP="006C72B0">
      <w:pPr>
        <w:spacing w:line="245" w:lineRule="auto"/>
        <w:ind w:firstLineChars="200" w:firstLine="420"/>
      </w:pPr>
      <w:r>
        <w:rPr>
          <w:rFonts w:hint="eastAsia"/>
        </w:rPr>
        <w:t>近日，财政部官网发布了《关于印发</w:t>
      </w:r>
      <w:r>
        <w:t>&lt;</w:t>
      </w:r>
      <w:r>
        <w:t>企业数据资源相关会计处理暂行规定</w:t>
      </w:r>
      <w:r>
        <w:t>&gt;</w:t>
      </w:r>
      <w:r>
        <w:t>的通知》（财会〔</w:t>
      </w:r>
      <w:r>
        <w:t>2023</w:t>
      </w:r>
      <w:r>
        <w:t>〕</w:t>
      </w:r>
      <w:r>
        <w:t>11</w:t>
      </w:r>
      <w:r>
        <w:t>号，以下简称《暂行规定》），明确建立数据资产入表机制，意味着企业数据资源可以作为无形资产或存货进行资本化，将数据确认为企业资产负债表中</w:t>
      </w:r>
      <w:r>
        <w:t>“</w:t>
      </w:r>
      <w:r>
        <w:t>资产</w:t>
      </w:r>
      <w:r>
        <w:t>”</w:t>
      </w:r>
      <w:r>
        <w:t>一项，在财务报表中体现其真实价值与业务贡献。《暂行规定》将于</w:t>
      </w:r>
      <w:r>
        <w:t>2024</w:t>
      </w:r>
      <w:r>
        <w:t>年</w:t>
      </w:r>
      <w:r>
        <w:t>1</w:t>
      </w:r>
      <w:r>
        <w:t>月</w:t>
      </w:r>
      <w:r>
        <w:t>1</w:t>
      </w:r>
      <w:r>
        <w:t>日起施行，对于推动数据资产化、资本化是重要一步，为后续数据要素的流通和交易奠定了政策基础，有利于盘活数据资产价值，尤其对于数据资产富集的机构具有重要意义。</w:t>
      </w:r>
    </w:p>
    <w:p w:rsidR="006C72B0" w:rsidRDefault="006C72B0" w:rsidP="006C72B0">
      <w:pPr>
        <w:spacing w:line="245" w:lineRule="auto"/>
        <w:ind w:firstLineChars="200" w:firstLine="420"/>
      </w:pPr>
      <w:r>
        <w:rPr>
          <w:rFonts w:hint="eastAsia"/>
        </w:rPr>
        <w:t>数据资产化的时代即将来临，为广电媒体积极融入数字化浪潮、寻找新的转型增长点带来了新的机遇，但要想实现从“数据资源”到“数据资产”，在很多方面存在不足。一是有的数据分散在多个机构、部门和业务系统中形成数据孤岛。二是用户活跃度、留存率不高，数据量不足、数据维度不丰。三是数据意识不强、数据开发应用能力不够，缺乏对数据资源的深度挖掘。</w:t>
      </w:r>
    </w:p>
    <w:p w:rsidR="006C72B0" w:rsidRDefault="006C72B0" w:rsidP="006C72B0">
      <w:pPr>
        <w:spacing w:line="245" w:lineRule="auto"/>
        <w:ind w:firstLineChars="200" w:firstLine="420"/>
      </w:pPr>
      <w:r>
        <w:rPr>
          <w:rFonts w:hint="eastAsia"/>
        </w:rPr>
        <w:t>数据将成为“兵家必争之地”，如何积极发挥数据要素作用，探索“数媒融合”之路，部分广电媒体也探索出了各自模式。</w:t>
      </w:r>
    </w:p>
    <w:p w:rsidR="006C72B0" w:rsidRDefault="006C72B0" w:rsidP="006C72B0">
      <w:pPr>
        <w:spacing w:line="245" w:lineRule="auto"/>
        <w:ind w:firstLineChars="200" w:firstLine="420"/>
      </w:pPr>
      <w:r>
        <w:rPr>
          <w:rFonts w:hint="eastAsia"/>
        </w:rPr>
        <w:t>一是打造聚合本地“城市服务</w:t>
      </w:r>
      <w:r>
        <w:t>+</w:t>
      </w:r>
      <w:r>
        <w:t>融媒体</w:t>
      </w:r>
      <w:r>
        <w:t>”</w:t>
      </w:r>
      <w:r>
        <w:t>的融合平台。通过媒体与大数据融合、与城市服务融合、与社会民生融合，实现政务服务移动端、城市服务聚集端和新闻资讯触达端</w:t>
      </w:r>
      <w:r>
        <w:t>“</w:t>
      </w:r>
      <w:r>
        <w:t>三端合一</w:t>
      </w:r>
      <w:r>
        <w:t>”</w:t>
      </w:r>
      <w:r>
        <w:t>，以服务创造价值，成为群众生活不可或缺的一部分。如，长沙广电建设运营的</w:t>
      </w:r>
      <w:r>
        <w:t>“</w:t>
      </w:r>
      <w:r>
        <w:t>我的长沙</w:t>
      </w:r>
      <w:r>
        <w:t>”</w:t>
      </w:r>
      <w:r>
        <w:t>平台，牢牢抓住城市大数据资源，以数据和智能驱动，为城市治理提供触达民众、引导民众、服务民众的综合入口。目前，</w:t>
      </w:r>
      <w:r>
        <w:t>“</w:t>
      </w:r>
      <w:r>
        <w:t>我的长沙</w:t>
      </w:r>
      <w:r>
        <w:t>”APP</w:t>
      </w:r>
      <w:r>
        <w:t>用户量已突破</w:t>
      </w:r>
      <w:r>
        <w:t>1000</w:t>
      </w:r>
      <w:r>
        <w:t>万人，而</w:t>
      </w:r>
      <w:r>
        <w:t>2022</w:t>
      </w:r>
      <w:r>
        <w:t>年年末长沙市常住总人口为</w:t>
      </w:r>
      <w:r>
        <w:t>1042.06</w:t>
      </w:r>
      <w:r>
        <w:t>万人，即基本实现了全市常驻人口的全覆盖。</w:t>
      </w:r>
    </w:p>
    <w:p w:rsidR="006C72B0" w:rsidRDefault="006C72B0" w:rsidP="006C72B0">
      <w:pPr>
        <w:spacing w:line="245" w:lineRule="auto"/>
        <w:ind w:firstLineChars="200" w:firstLine="420"/>
      </w:pPr>
      <w:r>
        <w:rPr>
          <w:rFonts w:hint="eastAsia"/>
        </w:rPr>
        <w:t>“我的长沙”的成功打造，源于长沙市对于全市数据资源管理和智慧城市建设的有效统筹和有力推进，体现出高水平的数据资源管理能力和数字政府服务能力。这表明，当主流媒体与新型智慧城市建设、与本地经济社会高质量发展紧密结合，实现由“城市媒体”向“城市平台”转型发展，将进一步释放巨大效能。</w:t>
      </w:r>
    </w:p>
    <w:p w:rsidR="006C72B0" w:rsidRDefault="006C72B0" w:rsidP="006C72B0">
      <w:pPr>
        <w:spacing w:line="245" w:lineRule="auto"/>
        <w:ind w:firstLineChars="200" w:firstLine="420"/>
      </w:pPr>
      <w:r>
        <w:rPr>
          <w:rFonts w:hint="eastAsia"/>
        </w:rPr>
        <w:t>二是“小平台，大数据”的数据整合汇聚。大部分县级融媒体的“小平台”所产生的数据量有限、数据维度也不够丰富，政务信息较多而本地生活服务数据较少，造成数据很难集中，难以发挥数据价值。因此有的地方采取“小平台，大数据”模式，将所有县融小平台的数据汇聚到省级平台，将数据统一起来，把各平台数据进行关联，有利于挖掘和发挥更大的数据价值。</w:t>
      </w:r>
    </w:p>
    <w:p w:rsidR="006C72B0" w:rsidRDefault="006C72B0" w:rsidP="006C72B0">
      <w:pPr>
        <w:spacing w:line="245" w:lineRule="auto"/>
        <w:ind w:firstLineChars="200" w:firstLine="420"/>
      </w:pPr>
      <w:r>
        <w:rPr>
          <w:rFonts w:hint="eastAsia"/>
        </w:rPr>
        <w:t>在行业发展新趋势和竞争环境下，未来还需从多方发力，实现对媒体本身的超越，构建更加丰富的融合媒体服务生态，优化更大范畴的资源配置、探索更多融合发展机遇、提升整体盈利能力。在服务广度上，全面推进各级媒体、内外融通，拓展到政务、服务、商务、智慧城市等各个领域。在服务深度上，做深做透本地化服务。在服务方式上，向智能化、垂类化、交互化、个性化发展，强化数据驱动和多平台协同。</w:t>
      </w:r>
    </w:p>
    <w:p w:rsidR="006C72B0" w:rsidRDefault="006C72B0" w:rsidP="006354A4">
      <w:pPr>
        <w:spacing w:line="245" w:lineRule="auto"/>
        <w:jc w:val="right"/>
      </w:pPr>
      <w:r w:rsidRPr="00C33658">
        <w:rPr>
          <w:rFonts w:hint="eastAsia"/>
        </w:rPr>
        <w:t>国家广电总局</w:t>
      </w:r>
      <w:r>
        <w:rPr>
          <w:rFonts w:hint="eastAsia"/>
        </w:rPr>
        <w:t>2023-8-26</w:t>
      </w:r>
    </w:p>
    <w:p w:rsidR="006C72B0" w:rsidRDefault="006C72B0" w:rsidP="00E7600B">
      <w:pPr>
        <w:sectPr w:rsidR="006C72B0" w:rsidSect="00E7600B">
          <w:type w:val="continuous"/>
          <w:pgSz w:w="11906" w:h="16838"/>
          <w:pgMar w:top="1644" w:right="1236" w:bottom="1418" w:left="1814" w:header="851" w:footer="907" w:gutter="0"/>
          <w:pgNumType w:start="1"/>
          <w:cols w:space="720"/>
          <w:docGrid w:type="lines" w:linePitch="341" w:charSpace="2373"/>
        </w:sectPr>
      </w:pPr>
    </w:p>
    <w:p w:rsidR="00970775" w:rsidRDefault="00970775"/>
    <w:sectPr w:rsidR="009707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72B0"/>
    <w:rsid w:val="006C72B0"/>
    <w:rsid w:val="009707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72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C72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341</Words>
  <Characters>1950</Characters>
  <Application>Microsoft Office Word</Application>
  <DocSecurity>0</DocSecurity>
  <Lines>16</Lines>
  <Paragraphs>4</Paragraphs>
  <ScaleCrop>false</ScaleCrop>
  <Company>Microsoft</Company>
  <LinksUpToDate>false</LinksUpToDate>
  <CharactersWithSpaces>2287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2023-08-30T00:54:00Z</dcterms:created>
</cp:coreProperties>
</file>