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66E" w:rsidRDefault="0060466E" w:rsidP="00630258">
      <w:pPr>
        <w:pStyle w:val="1"/>
      </w:pPr>
      <w:r w:rsidRPr="00630258">
        <w:rPr>
          <w:rFonts w:hint="eastAsia"/>
        </w:rPr>
        <w:t>广州探索形成多元互补的知识产权质押融资模式</w:t>
      </w:r>
    </w:p>
    <w:p w:rsidR="0060466E" w:rsidRDefault="0060466E" w:rsidP="0060466E">
      <w:pPr>
        <w:ind w:firstLineChars="200" w:firstLine="420"/>
      </w:pPr>
      <w:r>
        <w:rPr>
          <w:rFonts w:hint="eastAsia"/>
        </w:rPr>
        <w:t>凭借一件中国香港专利，</w:t>
      </w:r>
      <w:r>
        <w:t>2022</w:t>
      </w:r>
      <w:r>
        <w:t>年</w:t>
      </w:r>
      <w:r>
        <w:t>1</w:t>
      </w:r>
      <w:r>
        <w:t>月，广电运通</w:t>
      </w:r>
      <w:r>
        <w:t>(11.880, -0.12, -1.00%)</w:t>
      </w:r>
      <w:r>
        <w:t>金融电子股份有限公司（下称广电运通）在广州成功获得贷款</w:t>
      </w:r>
      <w:r>
        <w:t>500</w:t>
      </w:r>
      <w:r>
        <w:t>万元，这是全国首单港澳知识产权质押融资案例。</w:t>
      </w:r>
    </w:p>
    <w:p w:rsidR="0060466E" w:rsidRDefault="0060466E" w:rsidP="0060466E">
      <w:pPr>
        <w:ind w:firstLineChars="200" w:firstLine="420"/>
      </w:pPr>
      <w:r>
        <w:rPr>
          <w:rFonts w:hint="eastAsia"/>
        </w:rPr>
        <w:t>该案例的成功落地，是广州创新知识产权质押融资举措、推动形成多元互补的知识产权质押融资模式的最佳注脚。“近年来，广州市创新知识产权金融服务模式，加大产品创新力度，实现了‘知产’向‘资产’的快速、高效转化，走出了一条知识产权高质量发展之路，有力支撑了经济社会发展。”广州市知识产权局有关负责人表示。</w:t>
      </w:r>
    </w:p>
    <w:p w:rsidR="0060466E" w:rsidRDefault="0060466E" w:rsidP="0060466E">
      <w:pPr>
        <w:ind w:firstLineChars="200" w:firstLine="420"/>
      </w:pPr>
      <w:r>
        <w:rPr>
          <w:rFonts w:hint="eastAsia"/>
        </w:rPr>
        <w:t>“组合拳”破解融资难</w:t>
      </w:r>
    </w:p>
    <w:p w:rsidR="0060466E" w:rsidRDefault="0060466E" w:rsidP="0060466E">
      <w:pPr>
        <w:ind w:firstLineChars="200" w:firstLine="420"/>
      </w:pPr>
      <w:r>
        <w:rPr>
          <w:rFonts w:hint="eastAsia"/>
        </w:rPr>
        <w:t>“此举不仅给企业带来了金融‘活水’，也为广州乃至全国其他企业利用港澳知识产权进行质押融资提供了先行经验和示范样板。”广电运通高级副总经理杨旭在接受中国知识产权报记者采访时表示。</w:t>
      </w:r>
    </w:p>
    <w:p w:rsidR="0060466E" w:rsidRDefault="0060466E" w:rsidP="0060466E">
      <w:pPr>
        <w:ind w:firstLineChars="200" w:firstLine="420"/>
      </w:pPr>
      <w:r>
        <w:rPr>
          <w:rFonts w:hint="eastAsia"/>
        </w:rPr>
        <w:t>广电运通等众多企业依靠无形资产获得“真金白银”，正是广州市知识产权局通过政策“组合拳”破解知识产权质押融资难取得的成效。近年来，广州印发《广州市知识产权保护和运用“十四五”规划》，将知识产权质押融资纳入专项规划；修订《广州市知识产权工作专项资金管理办法》，把专利、商标、地理标志、集成电路布图设计等纳入风险补偿分担机制；修订《进一步加强知识产权运用和保护促进办法》，鼓励企业利用知识产权进行质押融资等。</w:t>
      </w:r>
    </w:p>
    <w:p w:rsidR="0060466E" w:rsidRDefault="0060466E" w:rsidP="0060466E">
      <w:pPr>
        <w:ind w:firstLineChars="200" w:firstLine="420"/>
      </w:pPr>
      <w:r>
        <w:rPr>
          <w:rFonts w:hint="eastAsia"/>
        </w:rPr>
        <w:t>“为进一步提升知识产权质押融资服务能力，广州注重发挥知识产权服务机构集聚优势，鼓励服务机构向企业提供知识产权金融服务。”广州市知识产权局有关负责人介绍，广州通过开展知识产权质押融资入园惠企行动，加大知识产权质押融资培训力度，帮助园区企业、金融机构和服务机构深入了解相关扶持政策、融资渠道、办理流程等信息。</w:t>
      </w:r>
      <w:r>
        <w:t>2022</w:t>
      </w:r>
      <w:r>
        <w:t>年，广州共组织知识产权质押融资政策解读、业务宣讲、银企对接等活动</w:t>
      </w:r>
      <w:r>
        <w:t>30</w:t>
      </w:r>
      <w:r>
        <w:t>余场次，覆盖园区</w:t>
      </w:r>
      <w:r>
        <w:t>23</w:t>
      </w:r>
      <w:r>
        <w:t>个，参与活动的金融机构达到</w:t>
      </w:r>
      <w:r>
        <w:t>50</w:t>
      </w:r>
      <w:r>
        <w:t>余家，培训企业</w:t>
      </w:r>
      <w:r>
        <w:t>1600</w:t>
      </w:r>
      <w:r>
        <w:t>余家。</w:t>
      </w:r>
    </w:p>
    <w:p w:rsidR="0060466E" w:rsidRDefault="0060466E" w:rsidP="0060466E">
      <w:pPr>
        <w:ind w:firstLineChars="200" w:firstLine="420"/>
      </w:pPr>
      <w:r>
        <w:rPr>
          <w:rFonts w:hint="eastAsia"/>
        </w:rPr>
        <w:t>“多模式”化解流程慢</w:t>
      </w:r>
    </w:p>
    <w:p w:rsidR="0060466E" w:rsidRDefault="0060466E" w:rsidP="0060466E">
      <w:pPr>
        <w:ind w:firstLineChars="200" w:firstLine="420"/>
      </w:pPr>
      <w:r>
        <w:t>2021</w:t>
      </w:r>
      <w:r>
        <w:t>年至</w:t>
      </w:r>
      <w:r>
        <w:t>2022</w:t>
      </w:r>
      <w:r>
        <w:t>年，广州市专利商标质押融资额达到</w:t>
      </w:r>
      <w:r>
        <w:t>267.7</w:t>
      </w:r>
      <w:r>
        <w:t>亿元，质押融资项目超过</w:t>
      </w:r>
      <w:r>
        <w:t>1500</w:t>
      </w:r>
      <w:r>
        <w:t>个，惠及企业</w:t>
      </w:r>
      <w:r>
        <w:t>1400</w:t>
      </w:r>
      <w:r>
        <w:t>余家</w:t>
      </w:r>
      <w:r>
        <w:t>……</w:t>
      </w:r>
      <w:r>
        <w:t>一组组数据彰显了广州知识产权质押融资工作的显著成效。</w:t>
      </w:r>
    </w:p>
    <w:p w:rsidR="0060466E" w:rsidRDefault="0060466E" w:rsidP="0060466E">
      <w:pPr>
        <w:ind w:firstLineChars="200" w:firstLine="420"/>
      </w:pPr>
      <w:r>
        <w:rPr>
          <w:rFonts w:hint="eastAsia"/>
        </w:rPr>
        <w:t>广州市知识产权局有关负责人介绍：“知识产权质押融资的快速推进，与广州市推动形成多元互补的知识产权质押融资模式紧密相关，该模式由‘政银企’合作模式、‘政银企服’合作模式和风险补偿基金合作模式</w:t>
      </w:r>
      <w:r>
        <w:t>3</w:t>
      </w:r>
      <w:r>
        <w:t>种模式互为补充，有效破解了质押融资流程慢的难题。</w:t>
      </w:r>
      <w:r>
        <w:t>”</w:t>
      </w:r>
    </w:p>
    <w:p w:rsidR="0060466E" w:rsidRDefault="0060466E" w:rsidP="0060466E">
      <w:pPr>
        <w:ind w:firstLineChars="200" w:firstLine="420"/>
      </w:pPr>
      <w:r>
        <w:rPr>
          <w:rFonts w:hint="eastAsia"/>
        </w:rPr>
        <w:t>“政银企”合作模式由政府引导扶持，商业银行与企业直接对接；“政银企服”合作模式通过政府扶持降低融资成本，服务机构辅助提升融资效率，银企对接达成快速融资；风险补偿基金合作模式通过知识产权风险补偿基金分担商业银行债务风险，提升商业银行知识产权授信额度，帮助科技型中小微企业通过知识产权进行融资。</w:t>
      </w:r>
    </w:p>
    <w:p w:rsidR="0060466E" w:rsidRDefault="0060466E" w:rsidP="0060466E">
      <w:pPr>
        <w:ind w:firstLineChars="200" w:firstLine="420"/>
      </w:pPr>
      <w:r>
        <w:rPr>
          <w:rFonts w:hint="eastAsia"/>
        </w:rPr>
        <w:t>广电运通获得银行</w:t>
      </w:r>
      <w:r>
        <w:t>500</w:t>
      </w:r>
      <w:r>
        <w:t>万元信贷支持的案例，正是</w:t>
      </w:r>
      <w:r>
        <w:t>“</w:t>
      </w:r>
      <w:r>
        <w:t>政银企服</w:t>
      </w:r>
      <w:r>
        <w:t>”</w:t>
      </w:r>
      <w:r>
        <w:t>合作模式的成功范例。</w:t>
      </w:r>
      <w:r>
        <w:t>2021</w:t>
      </w:r>
      <w:r>
        <w:t>年，广电运通及旗下</w:t>
      </w:r>
      <w:r>
        <w:t>5</w:t>
      </w:r>
      <w:r>
        <w:t>家子公司运用</w:t>
      </w:r>
      <w:r>
        <w:t>36</w:t>
      </w:r>
      <w:r>
        <w:t>件专利进行质押融资，合计获得</w:t>
      </w:r>
      <w:r>
        <w:t>1.22</w:t>
      </w:r>
      <w:r>
        <w:t>亿元信贷支持。</w:t>
      </w:r>
      <w:r>
        <w:t>“2008</w:t>
      </w:r>
      <w:r>
        <w:t>年，公司在中国香港地区成立了一家全资子公司，在金融领域已拥有近</w:t>
      </w:r>
      <w:r>
        <w:t>80</w:t>
      </w:r>
      <w:r>
        <w:t>件香港专利。</w:t>
      </w:r>
      <w:r>
        <w:t>”</w:t>
      </w:r>
      <w:r>
        <w:t>杨旭介绍，</w:t>
      </w:r>
      <w:r>
        <w:t>2019</w:t>
      </w:r>
      <w:r>
        <w:t>年，《广州市黄埔区广州开发区推进粤港澳知识产权互认互通办法（试行）》印发，提出</w:t>
      </w:r>
      <w:r>
        <w:t>10</w:t>
      </w:r>
      <w:r>
        <w:t>条有利于粤港澳三地实现知识产权领域互认合作的政策，这为广电运通利用香港专利在内地开展质押融资提供了政策依据，最终促成了全国首单港澳知识产权质押融资</w:t>
      </w:r>
      <w:r>
        <w:rPr>
          <w:rFonts w:hint="eastAsia"/>
        </w:rPr>
        <w:t>案例的落地。</w:t>
      </w:r>
    </w:p>
    <w:p w:rsidR="0060466E" w:rsidRDefault="0060466E" w:rsidP="0060466E">
      <w:pPr>
        <w:ind w:firstLineChars="200" w:firstLine="420"/>
      </w:pPr>
      <w:r>
        <w:rPr>
          <w:rFonts w:hint="eastAsia"/>
        </w:rPr>
        <w:t>“补偿金”应对高风险</w:t>
      </w:r>
    </w:p>
    <w:p w:rsidR="0060466E" w:rsidRDefault="0060466E" w:rsidP="0060466E">
      <w:pPr>
        <w:ind w:firstLineChars="200" w:firstLine="420"/>
      </w:pPr>
      <w:r>
        <w:rPr>
          <w:rFonts w:hint="eastAsia"/>
        </w:rPr>
        <w:t>“</w:t>
      </w:r>
      <w:r>
        <w:t>2020</w:t>
      </w:r>
      <w:r>
        <w:t>年至</w:t>
      </w:r>
      <w:r>
        <w:t>2022</w:t>
      </w:r>
      <w:r>
        <w:t>年，公司通过质押</w:t>
      </w:r>
      <w:r>
        <w:t>13</w:t>
      </w:r>
      <w:r>
        <w:t>件专利，已获得</w:t>
      </w:r>
      <w:r>
        <w:t>6000</w:t>
      </w:r>
      <w:r>
        <w:t>万元贷款，有效解决了科技型中小企业因缺少不动产担保而带来的资金紧张难题。</w:t>
      </w:r>
      <w:r>
        <w:t>”</w:t>
      </w:r>
      <w:r>
        <w:t>亿航智能控股有限公司（下称亿航智能）副总裁薛鹏在接受本报记者采访时表示。</w:t>
      </w:r>
    </w:p>
    <w:p w:rsidR="0060466E" w:rsidRDefault="0060466E" w:rsidP="0060466E">
      <w:pPr>
        <w:ind w:firstLineChars="200" w:firstLine="420"/>
      </w:pPr>
      <w:r>
        <w:rPr>
          <w:rFonts w:hint="eastAsia"/>
        </w:rPr>
        <w:t>近年来，广州不断创新知识产权质押融资风险补偿机制合作模式，该模式可以补偿银行在质押融资中的损失，大大提高了银行参与质押融资的积极性，亿航智能正是采用该模式质押了多件专利权。该公司是一家从事智能自动驾驶飞行器研发的科技型企业，在自动驾驶飞行器领域拥有大量核心专利。“公司的融资模式均为风险补偿基金合作模式，通过知识产权质押，有效盘活了企业的无形资产，为企业持续创新增添了助力。”薛鹏表示，知识产权质押融资不仅大大提高了公司的融资效率，也降低了融资成本，对于科技型中小企业具有很大价值。</w:t>
      </w:r>
    </w:p>
    <w:p w:rsidR="0060466E" w:rsidRDefault="0060466E" w:rsidP="0060466E">
      <w:pPr>
        <w:ind w:firstLineChars="200" w:firstLine="420"/>
      </w:pPr>
      <w:r>
        <w:rPr>
          <w:rFonts w:hint="eastAsia"/>
        </w:rPr>
        <w:t>风险补偿机制为知识产权质押融资提供风险补偿，引导金融机构支持中小微企业运用知识产权进行融资。早在</w:t>
      </w:r>
      <w:r>
        <w:t>2016</w:t>
      </w:r>
      <w:r>
        <w:t>年，广州市就设立了知识产权质押融资风险补偿基金，用于补偿合作银行对中小微企业开展知识产权质押融资服务中发生的部分风险损失。</w:t>
      </w:r>
    </w:p>
    <w:p w:rsidR="0060466E" w:rsidRDefault="0060466E" w:rsidP="0060466E">
      <w:pPr>
        <w:ind w:firstLineChars="200" w:firstLine="420"/>
      </w:pPr>
      <w:r>
        <w:rPr>
          <w:rFonts w:hint="eastAsia"/>
        </w:rPr>
        <w:t>为更好地完善风险补偿机制，近日，广州市出台了《广州市知识产权质押融资风险补偿机制管理办法》（下称《办法》），提出年度补助总额最高达</w:t>
      </w:r>
      <w:r>
        <w:t>5000</w:t>
      </w:r>
      <w:r>
        <w:t>万元。《办法》主要对广州市知识产权质押融资风险补偿机制的运作和管理进行了规范，明确了风险补偿机制总则、补偿对象和条件及标准、工作规程、监督与管理等内容。</w:t>
      </w:r>
    </w:p>
    <w:p w:rsidR="0060466E" w:rsidRDefault="0060466E" w:rsidP="0060466E">
      <w:pPr>
        <w:ind w:firstLineChars="200" w:firstLine="420"/>
      </w:pPr>
      <w:r>
        <w:rPr>
          <w:rFonts w:hint="eastAsia"/>
        </w:rPr>
        <w:t>广州市知识产权局有关负责人表示：“《办法》将风险补偿机制的管理规范化，有利于优化知识产权运营环境，降低金融机构开展知识产权质押融资风险，对促进经济增长、增加就业、推动科技创新、社会和谐稳定等意义重大。”</w:t>
      </w:r>
    </w:p>
    <w:p w:rsidR="0060466E" w:rsidRDefault="0060466E" w:rsidP="0060466E">
      <w:pPr>
        <w:ind w:firstLineChars="200" w:firstLine="420"/>
      </w:pPr>
      <w:r>
        <w:rPr>
          <w:rFonts w:hint="eastAsia"/>
        </w:rPr>
        <w:t>“未来，广州将持续完善政策体系、优化服务平台、提升服务水平，持续探索多元互补的知识产权质押融资模式，让企业无形资产变为有形价值，为企业创新注入汩汩活力。”上述负责人表示。</w:t>
      </w:r>
    </w:p>
    <w:p w:rsidR="0060466E" w:rsidRDefault="0060466E" w:rsidP="00630258">
      <w:pPr>
        <w:ind w:firstLine="420"/>
        <w:jc w:val="right"/>
      </w:pPr>
      <w:r w:rsidRPr="00630258">
        <w:rPr>
          <w:rFonts w:hint="eastAsia"/>
        </w:rPr>
        <w:t>中国知识产权报</w:t>
      </w:r>
      <w:r>
        <w:rPr>
          <w:rFonts w:hint="eastAsia"/>
        </w:rPr>
        <w:t>2023-8-4</w:t>
      </w:r>
    </w:p>
    <w:p w:rsidR="0060466E" w:rsidRDefault="0060466E" w:rsidP="00A223C5">
      <w:pPr>
        <w:sectPr w:rsidR="0060466E" w:rsidSect="00A223C5">
          <w:type w:val="continuous"/>
          <w:pgSz w:w="11906" w:h="16838"/>
          <w:pgMar w:top="1644" w:right="1236" w:bottom="1418" w:left="1814" w:header="851" w:footer="907" w:gutter="0"/>
          <w:pgNumType w:start="1"/>
          <w:cols w:space="720"/>
          <w:docGrid w:type="lines" w:linePitch="341" w:charSpace="2373"/>
        </w:sectPr>
      </w:pPr>
    </w:p>
    <w:p w:rsidR="00CF3C09" w:rsidRDefault="00CF3C09"/>
    <w:sectPr w:rsidR="00CF3C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466E"/>
    <w:rsid w:val="0060466E"/>
    <w:rsid w:val="00CF3C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46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46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Company>Microsoft</Company>
  <LinksUpToDate>false</LinksUpToDate>
  <CharactersWithSpaces>2248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