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2AA" w:rsidRDefault="00F322AA" w:rsidP="00340CA8">
      <w:pPr>
        <w:pStyle w:val="1"/>
      </w:pPr>
      <w:r w:rsidRPr="00340CA8">
        <w:rPr>
          <w:rFonts w:hint="eastAsia"/>
        </w:rPr>
        <w:t>贵州省黔东南州市场监管局“三个聚焦”推进农村药品安全专项整治显成效</w:t>
      </w:r>
    </w:p>
    <w:p w:rsidR="00F322AA" w:rsidRDefault="00F322AA" w:rsidP="00F322AA">
      <w:pPr>
        <w:ind w:firstLineChars="200" w:firstLine="420"/>
      </w:pPr>
      <w:r>
        <w:t>为解决农村地区存在的药品经营管理不规范等突出问题和薄弱环节，今年</w:t>
      </w:r>
      <w:r>
        <w:t>3</w:t>
      </w:r>
      <w:r>
        <w:t>月份以来，贵州省黔东南州市场监督管理局按照统一安排，强化工作措施，突出</w:t>
      </w:r>
      <w:r>
        <w:t>“</w:t>
      </w:r>
      <w:r>
        <w:t>三个聚焦</w:t>
      </w:r>
      <w:r>
        <w:t>”</w:t>
      </w:r>
      <w:r>
        <w:t>，靶向发力，深入推进农村药品安全专项整治行动。截至目前，全州共检查</w:t>
      </w:r>
      <w:r>
        <w:t>“</w:t>
      </w:r>
      <w:r>
        <w:t>两品一械</w:t>
      </w:r>
      <w:r>
        <w:t>”</w:t>
      </w:r>
      <w:r>
        <w:t>相关生产经营、使用单位</w:t>
      </w:r>
      <w:r>
        <w:t>5000</w:t>
      </w:r>
      <w:r>
        <w:t>余家次，出动执法人员</w:t>
      </w:r>
      <w:r>
        <w:t>8000</w:t>
      </w:r>
      <w:r>
        <w:t>余人次，查办</w:t>
      </w:r>
      <w:r>
        <w:t>“</w:t>
      </w:r>
      <w:r>
        <w:t>两品一械</w:t>
      </w:r>
      <w:r>
        <w:t>”</w:t>
      </w:r>
      <w:r>
        <w:t>案件</w:t>
      </w:r>
      <w:r>
        <w:t>150</w:t>
      </w:r>
      <w:r>
        <w:t>件，货值金额</w:t>
      </w:r>
      <w:r>
        <w:t>5.11</w:t>
      </w:r>
      <w:r>
        <w:t>万元，罚没金额</w:t>
      </w:r>
      <w:r>
        <w:t>91.71</w:t>
      </w:r>
      <w:r>
        <w:t>万元，移送公安机关案件</w:t>
      </w:r>
      <w:r>
        <w:t>3</w:t>
      </w:r>
      <w:r>
        <w:t>件。</w:t>
      </w:r>
    </w:p>
    <w:p w:rsidR="00F322AA" w:rsidRDefault="00F322AA" w:rsidP="00F322AA">
      <w:pPr>
        <w:ind w:firstLineChars="200" w:firstLine="420"/>
      </w:pPr>
      <w:r>
        <w:rPr>
          <w:rFonts w:hint="eastAsia"/>
        </w:rPr>
        <w:t>一是聚焦重点领域。充分发挥州、县两级市场监管部门作用，通过州局督导、县局监督检查等方式，紧盯乡镇卫生院、零售药店、村卫生室、个体诊所、医疗美容机构五类重点对象</w:t>
      </w:r>
      <w:r>
        <w:t>,</w:t>
      </w:r>
      <w:r>
        <w:t>对药品、医疗器械的进货渠道、供货者相关资质证明、购进渠道、购进验收记录、购进票据、药品储存条件等方面进行重点检查。严厉打击从非法渠道购进药品医疗器械、购进未经注册的医疗器械、销售使用过期药品、执业药师挂证、兼职和履职不到位等行为。</w:t>
      </w:r>
    </w:p>
    <w:p w:rsidR="00F322AA" w:rsidRDefault="00F322AA" w:rsidP="00F322AA">
      <w:pPr>
        <w:ind w:firstLineChars="200" w:firstLine="420"/>
      </w:pPr>
      <w:r>
        <w:rPr>
          <w:rFonts w:hint="eastAsia"/>
        </w:rPr>
        <w:t>二是聚焦方法措施。创新工作方法，多种措施联动确保整治实效。一是实施市场监管网格化管理，将基层监管分局划分为若干个网格，明确工作职责，压实网格员、服务员、监督员的责任，加快构建形成衔接事前事中事后全环节、贯穿经营主体全生命周期、社会广泛参与共治的现代化市场监管体系，推动由被动监管向主动监管转变、由事后治理向事前防范转变、由政府监管向社会共治转变的工作模式，让监管跑到风险的前面。二是运用联动“</w:t>
      </w:r>
      <w:r>
        <w:t>1+2+N”</w:t>
      </w:r>
      <w:r>
        <w:t>执法新模式，持续深入推进全员执法办案。通过推动全员执法办案，加强统筹执法资源和执法力量，实现监管与执法相结合</w:t>
      </w:r>
      <w:r>
        <w:rPr>
          <w:rFonts w:hint="eastAsia"/>
        </w:rPr>
        <w:t>，优势互补，同时，形成“监管</w:t>
      </w:r>
      <w:r>
        <w:t>-</w:t>
      </w:r>
      <w:r>
        <w:t>执法</w:t>
      </w:r>
      <w:r>
        <w:t>-</w:t>
      </w:r>
      <w:r>
        <w:t>监管</w:t>
      </w:r>
      <w:r>
        <w:t>”</w:t>
      </w:r>
      <w:r>
        <w:t>的动态监管方式，实现监管发现问题，执法深化监管、</w:t>
      </w:r>
      <w:r>
        <w:t>“</w:t>
      </w:r>
      <w:r>
        <w:t>反哺</w:t>
      </w:r>
      <w:r>
        <w:t>”</w:t>
      </w:r>
      <w:r>
        <w:t>监管的长效机制，从而规范生产经营行为，形成良好的市场秩序。三是推动部门深度协同联动，主动与公安机关保持密切协作，联合州公安局、州检察院、州法院出台市场监管行刑衔接工作办法，建立健全案件移送、线索通报、证据转换、检验鉴定、信息共享、联合督办等方面的行刑衔接工作机制。</w:t>
      </w:r>
    </w:p>
    <w:p w:rsidR="00F322AA" w:rsidRDefault="00F322AA" w:rsidP="00F322AA">
      <w:pPr>
        <w:ind w:firstLineChars="200" w:firstLine="420"/>
      </w:pPr>
      <w:r>
        <w:rPr>
          <w:rFonts w:hint="eastAsia"/>
        </w:rPr>
        <w:t>三是聚焦宣传引领。严格落实“谁执法谁普法”的要求，在日常监管执法过程中，及时将最新的政策法规宣传到位，确保药品经营使用单位知法、守法。一是在“</w:t>
      </w:r>
      <w:r>
        <w:t>3·15”</w:t>
      </w:r>
      <w:r>
        <w:t>国际消费者权益日、国际爱肤日、安全生产月等节日期间，全州市场监管部门积极开展宣传活动，现场解答消费者用药用妆问题，提高辨别能力，引导广大消费者更加科学、理性、合理消费，活动期间发放宣传册</w:t>
      </w:r>
      <w:r>
        <w:t>5000</w:t>
      </w:r>
      <w:r>
        <w:t>余份，接受群众现场咨询人数</w:t>
      </w:r>
      <w:r>
        <w:t>2000</w:t>
      </w:r>
      <w:r>
        <w:t>余人，惠及人数达</w:t>
      </w:r>
      <w:r>
        <w:t>200</w:t>
      </w:r>
      <w:r>
        <w:t>多万人。二是通过在官方网站、微信公众号等平台发布用药知识、增强公众对</w:t>
      </w:r>
      <w:r>
        <w:t>“</w:t>
      </w:r>
      <w:r>
        <w:t>两品一械</w:t>
      </w:r>
      <w:r>
        <w:t>”</w:t>
      </w:r>
      <w:r>
        <w:t>安全风险的科学认知，帮助公众树</w:t>
      </w:r>
      <w:r>
        <w:rPr>
          <w:rFonts w:hint="eastAsia"/>
        </w:rPr>
        <w:t>立安全用药、用械和用妆的理念。三是强化曝光典型案例，进一步强化震慑效果，规范经营行为。截至目前，发布典型案例</w:t>
      </w:r>
      <w:r>
        <w:t>1</w:t>
      </w:r>
      <w:r>
        <w:t>期</w:t>
      </w:r>
      <w:r>
        <w:t>6</w:t>
      </w:r>
      <w:r>
        <w:t>件。</w:t>
      </w:r>
    </w:p>
    <w:p w:rsidR="00F322AA" w:rsidRDefault="00F322AA" w:rsidP="00340CA8">
      <w:pPr>
        <w:jc w:val="right"/>
      </w:pPr>
      <w:r w:rsidRPr="00340CA8">
        <w:rPr>
          <w:rFonts w:hint="eastAsia"/>
        </w:rPr>
        <w:t>贵州省黔东南州市场监管局</w:t>
      </w:r>
      <w:r>
        <w:rPr>
          <w:rFonts w:hint="eastAsia"/>
        </w:rPr>
        <w:t>2023-8-9</w:t>
      </w:r>
    </w:p>
    <w:p w:rsidR="00F322AA" w:rsidRDefault="00F322AA" w:rsidP="00A223C5">
      <w:pPr>
        <w:sectPr w:rsidR="00F322AA" w:rsidSect="00A223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205E" w:rsidRDefault="00DB205E"/>
    <w:sectPr w:rsidR="00DB20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22AA"/>
    <w:rsid w:val="00DB205E"/>
    <w:rsid w:val="00F322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22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22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1024</Characters>
  <Application>Microsoft Office Word</Application>
  <DocSecurity>0</DocSecurity>
  <Lines>8</Lines>
  <Paragraphs>2</Paragraphs>
  <ScaleCrop>false</ScaleCrop>
  <Company>Microsoft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2023-08-11T09:48:00Z</dcterms:created>
</cp:coreProperties>
</file>