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1C96" w:rsidRDefault="00801C96" w:rsidP="00551400">
      <w:pPr>
        <w:pStyle w:val="1"/>
      </w:pPr>
      <w:r w:rsidRPr="00551400">
        <w:rPr>
          <w:rFonts w:hint="eastAsia"/>
        </w:rPr>
        <w:t>闵行区市场监督管理局</w:t>
      </w:r>
      <w:r w:rsidRPr="00551400">
        <w:t>2023年上半年度行政执法工作报告</w:t>
      </w:r>
    </w:p>
    <w:p w:rsidR="00801C96" w:rsidRDefault="00801C96" w:rsidP="00801C96">
      <w:pPr>
        <w:ind w:firstLineChars="200" w:firstLine="420"/>
      </w:pPr>
      <w:r>
        <w:t>2023</w:t>
      </w:r>
      <w:r>
        <w:t>年上半年，区市场监管局贯彻中共中央、国务院《法治政府建设实施纲要（</w:t>
      </w:r>
      <w:r>
        <w:t>2021-2025</w:t>
      </w:r>
      <w:r>
        <w:t>年）》和《上海市人民政府办公厅关于印发</w:t>
      </w:r>
      <w:r>
        <w:t>&lt;</w:t>
      </w:r>
      <w:r>
        <w:t>上海市全面推行行政执法公示制度执法全过程记录制度重大执法决定法制审核制度实施方案</w:t>
      </w:r>
      <w:r>
        <w:t>&gt;</w:t>
      </w:r>
      <w:r>
        <w:t>的通知》（沪府办发〔</w:t>
      </w:r>
      <w:r>
        <w:t>2019</w:t>
      </w:r>
      <w:r>
        <w:t>〕</w:t>
      </w:r>
      <w:r>
        <w:t>15</w:t>
      </w:r>
      <w:r>
        <w:t>号），根据《闵行区市场监管局关于全面推行行政执法公示制度执法全过程记录制度重大执法决定法制审核制度的工作方案》，认真开展行政执法工作。现将上半年行政执法工作总结如下：</w:t>
      </w:r>
    </w:p>
    <w:p w:rsidR="00801C96" w:rsidRDefault="00801C96" w:rsidP="00801C96">
      <w:pPr>
        <w:ind w:firstLineChars="200" w:firstLine="420"/>
      </w:pPr>
      <w:r>
        <w:rPr>
          <w:rFonts w:hint="eastAsia"/>
        </w:rPr>
        <w:t>一、坚持严格执法，认真做好行政执法各项工作</w:t>
      </w:r>
    </w:p>
    <w:p w:rsidR="00801C96" w:rsidRDefault="00801C96" w:rsidP="00801C96">
      <w:pPr>
        <w:ind w:firstLineChars="200" w:firstLine="420"/>
      </w:pPr>
      <w:r>
        <w:rPr>
          <w:rFonts w:hint="eastAsia"/>
        </w:rPr>
        <w:t>（一）行政许可情况</w:t>
      </w:r>
    </w:p>
    <w:p w:rsidR="00801C96" w:rsidRDefault="00801C96" w:rsidP="00801C96">
      <w:pPr>
        <w:ind w:firstLineChars="200" w:firstLine="420"/>
      </w:pPr>
      <w:r>
        <w:t>2023</w:t>
      </w:r>
      <w:r>
        <w:t>年</w:t>
      </w:r>
      <w:r>
        <w:t>1-6</w:t>
      </w:r>
      <w:r>
        <w:t>月，全区新设各类市场主体</w:t>
      </w:r>
      <w:r>
        <w:t>19899</w:t>
      </w:r>
      <w:r>
        <w:t>户，同比增加</w:t>
      </w:r>
      <w:r>
        <w:t>114.36%</w:t>
      </w:r>
      <w:r>
        <w:t>。其中企业</w:t>
      </w:r>
      <w:r>
        <w:t>16119</w:t>
      </w:r>
      <w:r>
        <w:t>户，同比增加</w:t>
      </w:r>
      <w:r>
        <w:t>108.98%</w:t>
      </w:r>
      <w:r>
        <w:t>，注册资本</w:t>
      </w:r>
      <w:r>
        <w:t>617.6382</w:t>
      </w:r>
      <w:r>
        <w:t>亿元，同比增加</w:t>
      </w:r>
      <w:r>
        <w:t>26.69%</w:t>
      </w:r>
      <w:r>
        <w:t>，企业占市场主体总数的</w:t>
      </w:r>
      <w:r>
        <w:t>81.00%</w:t>
      </w:r>
      <w:r>
        <w:t>。新设亿元以上企业</w:t>
      </w:r>
      <w:r>
        <w:t>64</w:t>
      </w:r>
      <w:r>
        <w:t>户。新设食品流通经营户</w:t>
      </w:r>
      <w:r>
        <w:t>2200</w:t>
      </w:r>
      <w:r>
        <w:t>户、餐饮服务经营户</w:t>
      </w:r>
      <w:r>
        <w:t>690</w:t>
      </w:r>
      <w:r>
        <w:t>户、食品生产企业</w:t>
      </w:r>
      <w:r>
        <w:t>4</w:t>
      </w:r>
      <w:r>
        <w:t>户、药品经营企业</w:t>
      </w:r>
      <w:r>
        <w:t>27</w:t>
      </w:r>
      <w:r>
        <w:t>户、医疗器械持证企业</w:t>
      </w:r>
      <w:r>
        <w:t>60</w:t>
      </w:r>
      <w:r>
        <w:t>户、医疗器械企业备案</w:t>
      </w:r>
      <w:r>
        <w:t>737</w:t>
      </w:r>
      <w:r>
        <w:t>户、酒类经营户</w:t>
      </w:r>
      <w:r>
        <w:t>1357</w:t>
      </w:r>
      <w:r>
        <w:t>户。全区共有各类市场主体</w:t>
      </w:r>
      <w:r>
        <w:t>244817</w:t>
      </w:r>
      <w:r>
        <w:t>户，同比增长</w:t>
      </w:r>
      <w:r>
        <w:t>2.10%</w:t>
      </w:r>
      <w:r>
        <w:t>。</w:t>
      </w:r>
    </w:p>
    <w:p w:rsidR="00801C96" w:rsidRDefault="00801C96" w:rsidP="00801C96">
      <w:pPr>
        <w:ind w:firstLineChars="200" w:firstLine="420"/>
      </w:pPr>
      <w:r>
        <w:rPr>
          <w:rFonts w:hint="eastAsia"/>
        </w:rPr>
        <w:t>（二）行政处罚及行政强制情况</w:t>
      </w:r>
    </w:p>
    <w:p w:rsidR="00801C96" w:rsidRDefault="00801C96" w:rsidP="00801C96">
      <w:pPr>
        <w:ind w:firstLineChars="200" w:firstLine="420"/>
      </w:pPr>
      <w:r>
        <w:t>2023</w:t>
      </w:r>
      <w:r>
        <w:t>年</w:t>
      </w:r>
      <w:r>
        <w:t>1-6</w:t>
      </w:r>
      <w:r>
        <w:t>月共办结各类案件</w:t>
      </w:r>
      <w:r>
        <w:t>1815</w:t>
      </w:r>
      <w:r>
        <w:t>件，共向公安机关移送线索</w:t>
      </w:r>
      <w:r>
        <w:t>2</w:t>
      </w:r>
      <w:r>
        <w:t>件，案件</w:t>
      </w:r>
      <w:r>
        <w:t>2</w:t>
      </w:r>
      <w:r>
        <w:t>件。积极落实免罚清单，已对</w:t>
      </w:r>
      <w:r>
        <w:t>295</w:t>
      </w:r>
      <w:r>
        <w:t>件案件不予行政处罚。</w:t>
      </w:r>
      <w:r>
        <w:t>1-6</w:t>
      </w:r>
      <w:r>
        <w:t>月区局共采取行政强制措施</w:t>
      </w:r>
      <w:r>
        <w:t>23</w:t>
      </w:r>
      <w:r>
        <w:t>件，申请行政强制执行</w:t>
      </w:r>
      <w:r>
        <w:t>7</w:t>
      </w:r>
      <w:r>
        <w:t>件。</w:t>
      </w:r>
    </w:p>
    <w:p w:rsidR="00801C96" w:rsidRDefault="00801C96" w:rsidP="00801C96">
      <w:pPr>
        <w:ind w:firstLineChars="200" w:firstLine="420"/>
      </w:pPr>
      <w:r>
        <w:rPr>
          <w:rFonts w:hint="eastAsia"/>
        </w:rPr>
        <w:t>（三）行政检查情况</w:t>
      </w:r>
    </w:p>
    <w:p w:rsidR="00801C96" w:rsidRDefault="00801C96" w:rsidP="00801C96">
      <w:pPr>
        <w:ind w:firstLineChars="200" w:firstLine="420"/>
      </w:pPr>
      <w:r>
        <w:rPr>
          <w:rFonts w:hint="eastAsia"/>
        </w:rPr>
        <w:t>一是开展双随机抽查。</w:t>
      </w:r>
      <w:r>
        <w:t>2023</w:t>
      </w:r>
      <w:r>
        <w:t>年</w:t>
      </w:r>
      <w:r>
        <w:t>1-6</w:t>
      </w:r>
      <w:r>
        <w:t>月，全区各委办局已通过</w:t>
      </w:r>
      <w:r>
        <w:t>“</w:t>
      </w:r>
      <w:r>
        <w:t>互联网</w:t>
      </w:r>
      <w:r>
        <w:t>+</w:t>
      </w:r>
      <w:r>
        <w:t>监管</w:t>
      </w:r>
      <w:r>
        <w:t>”</w:t>
      </w:r>
      <w:r>
        <w:t>平台制定双随机计划</w:t>
      </w:r>
      <w:r>
        <w:t>70</w:t>
      </w:r>
      <w:r>
        <w:t>个，已完成</w:t>
      </w:r>
      <w:r>
        <w:t>42</w:t>
      </w:r>
      <w:r>
        <w:t>个，推进中</w:t>
      </w:r>
      <w:r>
        <w:t>28</w:t>
      </w:r>
      <w:r>
        <w:t>个，涉及检查对象</w:t>
      </w:r>
      <w:r>
        <w:t>5355</w:t>
      </w:r>
      <w:r>
        <w:t>户次。其中，区市场局开展双随机抽查</w:t>
      </w:r>
      <w:r>
        <w:t>25</w:t>
      </w:r>
      <w:r>
        <w:t>个，涉及检查对象</w:t>
      </w:r>
      <w:r>
        <w:t>4600</w:t>
      </w:r>
      <w:r>
        <w:t>户次。</w:t>
      </w:r>
    </w:p>
    <w:p w:rsidR="00801C96" w:rsidRDefault="00801C96" w:rsidP="00801C96">
      <w:pPr>
        <w:ind w:firstLineChars="200" w:firstLine="420"/>
      </w:pPr>
      <w:r>
        <w:rPr>
          <w:rFonts w:hint="eastAsia"/>
        </w:rPr>
        <w:t>二是开展信用监管。强化失信企业名单管理机制，上半年列入经营异常名录的企业</w:t>
      </w:r>
      <w:r>
        <w:t>630</w:t>
      </w:r>
      <w:r>
        <w:t>户次，其中隐瞒真实情况弄虚作假</w:t>
      </w:r>
      <w:r>
        <w:t>109</w:t>
      </w:r>
      <w:r>
        <w:t>户次、失联列异</w:t>
      </w:r>
      <w:r>
        <w:t>521</w:t>
      </w:r>
      <w:r>
        <w:t>户次。依法启动惩戒措施，对逾期未及时年报且长期未经营的</w:t>
      </w:r>
      <w:r>
        <w:t>“</w:t>
      </w:r>
      <w:r>
        <w:t>僵尸</w:t>
      </w:r>
      <w:r>
        <w:t>”</w:t>
      </w:r>
      <w:r>
        <w:t>企业依法予以吊照清理，截止</w:t>
      </w:r>
      <w:r>
        <w:t>6</w:t>
      </w:r>
      <w:r>
        <w:t>月</w:t>
      </w:r>
      <w:r>
        <w:t>20</w:t>
      </w:r>
      <w:r>
        <w:t>日完成</w:t>
      </w:r>
      <w:r>
        <w:t>5200</w:t>
      </w:r>
      <w:r>
        <w:t>户长期未经营企业的吊照清理工作。</w:t>
      </w:r>
    </w:p>
    <w:p w:rsidR="00801C96" w:rsidRDefault="00801C96" w:rsidP="00801C96">
      <w:pPr>
        <w:ind w:firstLineChars="200" w:firstLine="420"/>
      </w:pPr>
      <w:r>
        <w:rPr>
          <w:rFonts w:hint="eastAsia"/>
        </w:rPr>
        <w:t>二、化解行政争议，强化行政执法工作监督</w:t>
      </w:r>
    </w:p>
    <w:p w:rsidR="00801C96" w:rsidRDefault="00801C96" w:rsidP="00801C96">
      <w:pPr>
        <w:ind w:firstLineChars="200" w:firstLine="420"/>
      </w:pPr>
      <w:r>
        <w:rPr>
          <w:rFonts w:hint="eastAsia"/>
        </w:rPr>
        <w:t>认真落实《市场监督管理行政处罚程序规定》，确保行政执法决定的合法、有效。</w:t>
      </w:r>
      <w:r>
        <w:t>2023</w:t>
      </w:r>
      <w:r>
        <w:t>年上半年开展执法监督检查</w:t>
      </w:r>
      <w:r>
        <w:t>2</w:t>
      </w:r>
      <w:r>
        <w:t>次。上半年共应对复议诉讼</w:t>
      </w:r>
      <w:r>
        <w:t>91</w:t>
      </w:r>
      <w:r>
        <w:t>件，包括复议</w:t>
      </w:r>
      <w:r>
        <w:t>78</w:t>
      </w:r>
      <w:r>
        <w:t>件、诉讼</w:t>
      </w:r>
      <w:r>
        <w:t>13</w:t>
      </w:r>
      <w:r>
        <w:t>件，与</w:t>
      </w:r>
      <w:r>
        <w:t>2022</w:t>
      </w:r>
      <w:r>
        <w:t>年同比上升</w:t>
      </w:r>
      <w:r>
        <w:t>62.5%</w:t>
      </w:r>
      <w:r>
        <w:t>。实质性化解矛盾争议，化解率达</w:t>
      </w:r>
      <w:r>
        <w:t>45.05%</w:t>
      </w:r>
      <w:r>
        <w:t>。上半年机关负责人出庭应诉共计</w:t>
      </w:r>
      <w:r>
        <w:t>5</w:t>
      </w:r>
      <w:r>
        <w:t>人次，出庭率达</w:t>
      </w:r>
      <w:r>
        <w:t>100%</w:t>
      </w:r>
      <w:r>
        <w:t>。</w:t>
      </w:r>
    </w:p>
    <w:p w:rsidR="00801C96" w:rsidRDefault="00801C96" w:rsidP="00801C96">
      <w:pPr>
        <w:ind w:firstLineChars="200" w:firstLine="420"/>
      </w:pPr>
      <w:r>
        <w:rPr>
          <w:rFonts w:hint="eastAsia"/>
        </w:rPr>
        <w:t>三、加强队伍建设，提高执法人员综合素质</w:t>
      </w:r>
    </w:p>
    <w:p w:rsidR="00801C96" w:rsidRDefault="00801C96" w:rsidP="00801C96">
      <w:pPr>
        <w:ind w:firstLineChars="200" w:firstLine="420"/>
      </w:pPr>
      <w:r>
        <w:rPr>
          <w:rFonts w:hint="eastAsia"/>
        </w:rPr>
        <w:t>区市场监管局</w:t>
      </w:r>
      <w:r>
        <w:t>2023</w:t>
      </w:r>
      <w:r>
        <w:t>年上半年共计申请新办执法证</w:t>
      </w:r>
      <w:r>
        <w:t>4</w:t>
      </w:r>
      <w:r>
        <w:t>件、注销</w:t>
      </w:r>
      <w:r>
        <w:t>11</w:t>
      </w:r>
      <w:r>
        <w:t>件、到期换证</w:t>
      </w:r>
      <w:r>
        <w:t>40</w:t>
      </w:r>
      <w:r>
        <w:t>件，目前共有持证人员</w:t>
      </w:r>
      <w:r>
        <w:t>486</w:t>
      </w:r>
      <w:r>
        <w:t>名。区局加强公职律师管理，上半年新增公职律师</w:t>
      </w:r>
      <w:r>
        <w:t>4</w:t>
      </w:r>
      <w:r>
        <w:t>人，目前共有公职律师</w:t>
      </w:r>
      <w:r>
        <w:t>6</w:t>
      </w:r>
      <w:r>
        <w:t>人。区局加强执法人员和法制审核人员培训，培养行政执法人员和法制审核人员的法治思维和法治意识，提高法律素养和业务能力，</w:t>
      </w:r>
      <w:r>
        <w:t>2023</w:t>
      </w:r>
      <w:r>
        <w:t>年上半年共计开展执法培训</w:t>
      </w:r>
      <w:r>
        <w:t>20</w:t>
      </w:r>
      <w:r>
        <w:t>余次。</w:t>
      </w:r>
    </w:p>
    <w:p w:rsidR="00801C96" w:rsidRDefault="00801C96" w:rsidP="00551400">
      <w:pPr>
        <w:jc w:val="right"/>
      </w:pPr>
      <w:r w:rsidRPr="00551400">
        <w:rPr>
          <w:rFonts w:hint="eastAsia"/>
        </w:rPr>
        <w:t>闵行区市场监督管理局</w:t>
      </w:r>
      <w:r>
        <w:rPr>
          <w:rFonts w:hint="eastAsia"/>
        </w:rPr>
        <w:t>2023-7-29</w:t>
      </w:r>
    </w:p>
    <w:p w:rsidR="00801C96" w:rsidRDefault="00801C96" w:rsidP="00811685">
      <w:pPr>
        <w:sectPr w:rsidR="00801C96" w:rsidSect="00811685">
          <w:type w:val="continuous"/>
          <w:pgSz w:w="11906" w:h="16838"/>
          <w:pgMar w:top="1644" w:right="1236" w:bottom="1418" w:left="1814" w:header="851" w:footer="907" w:gutter="0"/>
          <w:pgNumType w:start="1"/>
          <w:cols w:space="720"/>
          <w:docGrid w:type="lines" w:linePitch="341" w:charSpace="2373"/>
        </w:sectPr>
      </w:pPr>
    </w:p>
    <w:p w:rsidR="007D0936" w:rsidRDefault="007D0936"/>
    <w:sectPr w:rsidR="007D09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1C96"/>
    <w:rsid w:val="007D0936"/>
    <w:rsid w:val="00801C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1C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01C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1055</Characters>
  <Application>Microsoft Office Word</Application>
  <DocSecurity>0</DocSecurity>
  <Lines>8</Lines>
  <Paragraphs>2</Paragraphs>
  <ScaleCrop>false</ScaleCrop>
  <Company>Microsoft</Company>
  <LinksUpToDate>false</LinksUpToDate>
  <CharactersWithSpaces>1237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