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0660" w:rsidRDefault="00670660" w:rsidP="004738B5">
      <w:pPr>
        <w:pStyle w:val="1"/>
      </w:pPr>
      <w:r w:rsidRPr="004738B5">
        <w:rPr>
          <w:rFonts w:hint="eastAsia"/>
        </w:rPr>
        <w:t>广西百色：积极推动知识产权工作赋能高质量发展</w:t>
      </w:r>
    </w:p>
    <w:p w:rsidR="00670660" w:rsidRDefault="00670660" w:rsidP="00670660">
      <w:pPr>
        <w:ind w:firstLineChars="200" w:firstLine="420"/>
      </w:pPr>
      <w:r>
        <w:rPr>
          <w:rFonts w:hint="eastAsia"/>
        </w:rPr>
        <w:t>近年来，广西百色市全面落实党中央、国务院的决策部署，以及自治区关于知识产权工作的具体要求，强力推进知识产权强市建设，全面提升革命老区经济核心竞争力和可持续发展水平，取得良好成效。</w:t>
      </w:r>
      <w:r>
        <w:t>2022</w:t>
      </w:r>
      <w:r>
        <w:t>年度，百色市知识产权工作考评获全区</w:t>
      </w:r>
      <w:r>
        <w:t>A</w:t>
      </w:r>
      <w:r>
        <w:t>级等次，获自治区真抓实干督查激励表扬。</w:t>
      </w:r>
    </w:p>
    <w:p w:rsidR="00670660" w:rsidRDefault="00670660" w:rsidP="00670660">
      <w:pPr>
        <w:ind w:firstLineChars="200" w:firstLine="420"/>
      </w:pPr>
      <w:r>
        <w:rPr>
          <w:rFonts w:hint="eastAsia"/>
        </w:rPr>
        <w:t>创新为“擎”，知识产权创造量升质优。依托丰富的铝产业和特色农业产业资源，百色市市场监管局以创新为“引擎”，大力培育专利、地理标志、商标，全力提升知识产权创造力，服务构建创新驱动和品牌发展新格局。支持鼓励创新创造。百色充分发挥高等院校与龙头企业的示范带动作用，加大全社会研究与试验发展经费投入，全力推进知识产权试点示范创建，促进全市专利量质齐升。截至目前，全市有效专利</w:t>
      </w:r>
      <w:r>
        <w:t>6036</w:t>
      </w:r>
      <w:r>
        <w:t>件，国家知识产权优势企业</w:t>
      </w:r>
      <w:r>
        <w:t>11</w:t>
      </w:r>
      <w:r>
        <w:t>家，广西知识产权优势企业和培育单位</w:t>
      </w:r>
      <w:r>
        <w:t>45</w:t>
      </w:r>
      <w:r>
        <w:t>家，广西高价值专利培育示范中心建设主体</w:t>
      </w:r>
      <w:r>
        <w:t>2</w:t>
      </w:r>
      <w:r>
        <w:t>家，广西农业品牌目录品牌产品</w:t>
      </w:r>
      <w:r>
        <w:t>35</w:t>
      </w:r>
      <w:r>
        <w:rPr>
          <w:rFonts w:hint="eastAsia"/>
        </w:rPr>
        <w:t>个，广西知识产权培训基地</w:t>
      </w:r>
      <w:r>
        <w:t>1</w:t>
      </w:r>
      <w:r>
        <w:t>家。着力打造</w:t>
      </w:r>
      <w:r>
        <w:t>“</w:t>
      </w:r>
      <w:r>
        <w:t>百色名片</w:t>
      </w:r>
      <w:r>
        <w:t>”</w:t>
      </w:r>
      <w:r>
        <w:t>。深入挖掘特色资源，摸清商品品牌和地理标志培育底数，实施阶梯培育、分类施策，有序培育百色商标品牌及地标品牌。全市有效注册商标</w:t>
      </w:r>
      <w:r>
        <w:t>1.0042</w:t>
      </w:r>
      <w:r>
        <w:t>万件，同比增长</w:t>
      </w:r>
      <w:r>
        <w:t>14.37%</w:t>
      </w:r>
      <w:r>
        <w:t>；拥有地理标志商标和地理标志产品</w:t>
      </w:r>
      <w:r>
        <w:t>29</w:t>
      </w:r>
      <w:r>
        <w:t>件</w:t>
      </w:r>
      <w:r>
        <w:t>(</w:t>
      </w:r>
      <w:r>
        <w:t>个</w:t>
      </w:r>
      <w:r>
        <w:t>)</w:t>
      </w:r>
      <w:r>
        <w:t>，拥有量位居全区第一，其中</w:t>
      </w:r>
      <w:r>
        <w:t>“</w:t>
      </w:r>
      <w:r>
        <w:t>百色芒果</w:t>
      </w:r>
      <w:r>
        <w:t>”</w:t>
      </w:r>
      <w:r>
        <w:t>在</w:t>
      </w:r>
      <w:r>
        <w:t>2023</w:t>
      </w:r>
      <w:r>
        <w:t>年中国地理标志区域品牌价值评价百强榜单中位列第</w:t>
      </w:r>
      <w:r>
        <w:t>32</w:t>
      </w:r>
      <w:r>
        <w:t>位，品牌价值</w:t>
      </w:r>
      <w:r>
        <w:t>105.56</w:t>
      </w:r>
      <w:r>
        <w:t>亿元。百色全力打造</w:t>
      </w:r>
      <w:r>
        <w:t>“</w:t>
      </w:r>
      <w:r>
        <w:t>百香百色</w:t>
      </w:r>
      <w:r>
        <w:t>”</w:t>
      </w:r>
      <w:r>
        <w:t>特色农产品区域公共品牌，制定区域公共品牌使用管理规则，规范管理区域公共品牌及其产品质量。</w:t>
      </w:r>
    </w:p>
    <w:p w:rsidR="00670660" w:rsidRDefault="00670660" w:rsidP="00670660">
      <w:pPr>
        <w:ind w:firstLineChars="200" w:firstLine="420"/>
      </w:pPr>
      <w:r>
        <w:rPr>
          <w:rFonts w:hint="eastAsia"/>
        </w:rPr>
        <w:t>转化为“桨”，知识产权运用效益增强。针对成果“转化难”、企业“获取难”的“两难”局面，百色市市场监管局大力支持知识产权成果转化应用，推进革命老区经济创新发展。扩大地标使用率。全市涉及地理标志产业产值约</w:t>
      </w:r>
      <w:r>
        <w:t>170</w:t>
      </w:r>
      <w:r>
        <w:t>亿元，覆盖</w:t>
      </w:r>
      <w:r>
        <w:t>400</w:t>
      </w:r>
      <w:r>
        <w:t>多个脱贫村。</w:t>
      </w:r>
      <w:r>
        <w:t>“</w:t>
      </w:r>
      <w:r>
        <w:t>百色芒果</w:t>
      </w:r>
      <w:r>
        <w:t>”</w:t>
      </w:r>
      <w:r>
        <w:t>入选全国地理标志助力乡村振兴典型案例，获得国家知识产权局地理标志运用促进工程项目</w:t>
      </w:r>
      <w:r>
        <w:t>“</w:t>
      </w:r>
      <w:r>
        <w:t>优秀</w:t>
      </w:r>
      <w:r>
        <w:t>”</w:t>
      </w:r>
      <w:r>
        <w:t>等次。此外，通过实施</w:t>
      </w:r>
      <w:r>
        <w:t>“</w:t>
      </w:r>
      <w:r>
        <w:t>西林沙糖桔</w:t>
      </w:r>
      <w:r>
        <w:t>”“</w:t>
      </w:r>
      <w:r>
        <w:t>凌云白毫茶</w:t>
      </w:r>
      <w:r>
        <w:t>”“</w:t>
      </w:r>
      <w:r>
        <w:t>乐业猕猴桃</w:t>
      </w:r>
      <w:r>
        <w:t>”</w:t>
      </w:r>
      <w:r>
        <w:t>广西地理标志运用促进工程，全市使用地理标志商标和地理标志专用标志用户</w:t>
      </w:r>
      <w:r>
        <w:t>262</w:t>
      </w:r>
      <w:r>
        <w:t>户，其中使用地理标志专用标志企业</w:t>
      </w:r>
      <w:r>
        <w:t>151</w:t>
      </w:r>
      <w:r>
        <w:t>户，</w:t>
      </w:r>
      <w:r>
        <w:rPr>
          <w:rFonts w:hint="eastAsia"/>
        </w:rPr>
        <w:t>使用量位居全区第二。开辟融资新渠道。与多家银行签订《知识产权质押融资战略合作协议》，推动知识产权质押融资工作深入园区、企业和金融机构基层网点。强化“政企银保服”联动，通过组合担保模式累计帮助</w:t>
      </w:r>
      <w:r>
        <w:t>20</w:t>
      </w:r>
      <w:r>
        <w:t>家企业申请知识产权融资质押贷款共</w:t>
      </w:r>
      <w:r>
        <w:t>2.27</w:t>
      </w:r>
      <w:r>
        <w:t>亿元。提高专利转化率。实施专利转化专项计划，强化校企沟通协作，组织全市中小微企业通过转让、许可等方式从高校院所获取专利技术，促成专利转让</w:t>
      </w:r>
      <w:r>
        <w:t>385</w:t>
      </w:r>
      <w:r>
        <w:t>件，专利许可</w:t>
      </w:r>
      <w:r>
        <w:t>16</w:t>
      </w:r>
      <w:r>
        <w:t>件。</w:t>
      </w:r>
    </w:p>
    <w:p w:rsidR="00670660" w:rsidRDefault="00670660" w:rsidP="00670660">
      <w:pPr>
        <w:ind w:firstLineChars="200" w:firstLine="420"/>
      </w:pPr>
      <w:r>
        <w:rPr>
          <w:rFonts w:hint="eastAsia"/>
        </w:rPr>
        <w:t>监管为“舵”，知识产权保护力度加大。围绕群众反映强烈、侵权假冒多发的重点领域，百色市市场监管局加大知识产权监管执法力度，不断健全保护工作体系，为创新发展保驾护航。加强监管执法。推进市、县知识产权行政执法全覆盖，开展“铁拳”“蓝天”等系列执法行动，查办假冒专利、商标侵权案件</w:t>
      </w:r>
      <w:r>
        <w:t>397</w:t>
      </w:r>
      <w:r>
        <w:t>件，商标案件查处量居全区第一。其中，百色</w:t>
      </w:r>
      <w:r>
        <w:t>“</w:t>
      </w:r>
      <w:r>
        <w:t>查处侵犯</w:t>
      </w:r>
      <w:r>
        <w:t>‘</w:t>
      </w:r>
      <w:r>
        <w:t>协和医院</w:t>
      </w:r>
      <w:r>
        <w:t>’</w:t>
      </w:r>
      <w:r>
        <w:t>注册商标专用权案</w:t>
      </w:r>
      <w:r>
        <w:t>”</w:t>
      </w:r>
      <w:r>
        <w:t>入选全国知识产权行政保护十大典型案例。完善保护体系。制定出台《百色市知识产权保护行政执法与刑事司法衔接工作机制》，推荐</w:t>
      </w:r>
      <w:r>
        <w:t>5</w:t>
      </w:r>
      <w:r>
        <w:t>名调解员入驻法院人民调解平台，纠纷</w:t>
      </w:r>
      <w:r>
        <w:rPr>
          <w:rFonts w:hint="eastAsia"/>
        </w:rPr>
        <w:t>解决周期缩短</w:t>
      </w:r>
      <w:r>
        <w:t>60%</w:t>
      </w:r>
      <w:r>
        <w:t>。与龙邦海关签订《知识产权保护合作备忘录》，构建</w:t>
      </w:r>
      <w:r>
        <w:t>“</w:t>
      </w:r>
      <w:r>
        <w:t>信息互通、资源共享、协同配合</w:t>
      </w:r>
      <w:r>
        <w:t>”</w:t>
      </w:r>
      <w:r>
        <w:t>的保护管理机制。设立本辖区海外知识产权纠纷应对专家库，举办海外知识产权保护和商标注册马德里体系实操培训班，筹建海外知识产权维权援助工作站，加强企业海外知识产权风险防控体系建设。</w:t>
      </w:r>
    </w:p>
    <w:p w:rsidR="00670660" w:rsidRDefault="00670660" w:rsidP="00670660">
      <w:pPr>
        <w:ind w:firstLineChars="200" w:firstLine="420"/>
      </w:pPr>
      <w:r>
        <w:rPr>
          <w:rFonts w:hint="eastAsia"/>
        </w:rPr>
        <w:t>服务为“帆”，知识产权服务优化提升。聚焦创新发展需求和社会公众需求，百色市市场监管局优化提升知识产权领域服务，为创新主体提供更加便捷、快速、高效的知识产权保护服务。建立健全知识产权工作体系，组建百色市知识产权局统筹全市知识产权工作，市、县两级均设立知识产权战略实施工作局际联席会议制度及办公室，切实提高知识产权创造、运用、保护、管理和服务水平。积极打造服务平台载体，构建知识产权服务“</w:t>
      </w:r>
      <w:r>
        <w:t>1+1+N”</w:t>
      </w:r>
      <w:r>
        <w:t>体系，即建立</w:t>
      </w:r>
      <w:r>
        <w:t>1</w:t>
      </w:r>
      <w:r>
        <w:t>家自治区级知识产权培训基地，设立</w:t>
      </w:r>
      <w:r>
        <w:t>1</w:t>
      </w:r>
      <w:r>
        <w:t>家知识产权维权援助中心，成立</w:t>
      </w:r>
      <w:r>
        <w:t>6</w:t>
      </w:r>
      <w:r>
        <w:t>个企业知识产权维权援助工作站、</w:t>
      </w:r>
      <w:r>
        <w:t>7</w:t>
      </w:r>
      <w:r>
        <w:t>个商标</w:t>
      </w:r>
      <w:r>
        <w:rPr>
          <w:rFonts w:hint="eastAsia"/>
        </w:rPr>
        <w:t>品牌指导站，在</w:t>
      </w:r>
      <w:r>
        <w:t>11</w:t>
      </w:r>
      <w:r>
        <w:t>家国家知识产权优势企业、</w:t>
      </w:r>
      <w:r>
        <w:t>45</w:t>
      </w:r>
      <w:r>
        <w:t>家自治区优势企业和优势企业培育单位、</w:t>
      </w:r>
      <w:r>
        <w:t>2</w:t>
      </w:r>
      <w:r>
        <w:t>个自治区高价值培育示范中心建设主体成立知识产权办公室。组织成立知识产权协会，先后成立百色市和</w:t>
      </w:r>
      <w:r>
        <w:t>4</w:t>
      </w:r>
      <w:r>
        <w:t>个县共</w:t>
      </w:r>
      <w:r>
        <w:t>5</w:t>
      </w:r>
      <w:r>
        <w:t>家知识产权协会，进一步搭建知识产权领域政府与企业之间联系的桥梁和纽带。</w:t>
      </w:r>
    </w:p>
    <w:p w:rsidR="00670660" w:rsidRDefault="00670660" w:rsidP="00670660">
      <w:pPr>
        <w:ind w:firstLineChars="200" w:firstLine="420"/>
      </w:pPr>
      <w:r>
        <w:rPr>
          <w:rFonts w:hint="eastAsia"/>
        </w:rPr>
        <w:t>好风凭借力，扬帆正当时。百色市将进一步落实知识产权强国建设纲要，扎实推进知识产权强市建设，促进创新成果产业化，提升知识产权对经济转型升级和创新驱动发展的贡献度，为革命老区经济高质量发展积蓄更大力量。</w:t>
      </w:r>
    </w:p>
    <w:p w:rsidR="00670660" w:rsidRPr="004738B5" w:rsidRDefault="00670660" w:rsidP="004738B5">
      <w:pPr>
        <w:jc w:val="right"/>
      </w:pPr>
      <w:r w:rsidRPr="004738B5">
        <w:rPr>
          <w:rFonts w:hint="eastAsia"/>
        </w:rPr>
        <w:t>人民网</w:t>
      </w:r>
      <w:r>
        <w:rPr>
          <w:rFonts w:hint="eastAsia"/>
        </w:rPr>
        <w:t>2023-8-2</w:t>
      </w:r>
    </w:p>
    <w:p w:rsidR="00670660" w:rsidRDefault="00670660" w:rsidP="00811685">
      <w:pPr>
        <w:sectPr w:rsidR="00670660" w:rsidSect="0081168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45546" w:rsidRDefault="00B45546"/>
    <w:sectPr w:rsidR="00B455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70660"/>
    <w:rsid w:val="00670660"/>
    <w:rsid w:val="00B455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7066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7066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1708</Characters>
  <Application>Microsoft Office Word</Application>
  <DocSecurity>0</DocSecurity>
  <Lines>14</Lines>
  <Paragraphs>4</Paragraphs>
  <ScaleCrop>false</ScaleCrop>
  <Company>Microsoft</Company>
  <LinksUpToDate>false</LinksUpToDate>
  <CharactersWithSpaces>2003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2023-08-03T03:45:00Z</dcterms:created>
</cp:coreProperties>
</file>