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2AF0" w:rsidRDefault="00752AF0" w:rsidP="00471F1A">
      <w:pPr>
        <w:pStyle w:val="1"/>
      </w:pPr>
      <w:r w:rsidRPr="00471F1A">
        <w:rPr>
          <w:rFonts w:hint="eastAsia"/>
        </w:rPr>
        <w:t>梁溪生态环境局</w:t>
      </w:r>
      <w:r w:rsidRPr="00471F1A">
        <w:t>2023年上半年度工作总结</w:t>
      </w:r>
    </w:p>
    <w:p w:rsidR="00752AF0" w:rsidRDefault="00752AF0" w:rsidP="00752AF0">
      <w:pPr>
        <w:ind w:firstLineChars="200" w:firstLine="420"/>
      </w:pPr>
      <w:r>
        <w:rPr>
          <w:rFonts w:hint="eastAsia"/>
        </w:rPr>
        <w:t>今年以来，梁溪生态环境局在区委、区政府的正确领导下，坚持以习近平新时代中国特色社会主义思想为指导，深入学习贯彻党的二十大精神，坚持以生态环境质量持续改善为核心，聚焦突出生态环境问题整改，深入打好污染防治攻坚战，推动全区生态环境高质量发展取得新成效。现将上半年工作开展情况报告如下：</w:t>
      </w:r>
    </w:p>
    <w:p w:rsidR="00752AF0" w:rsidRDefault="00752AF0" w:rsidP="00752AF0">
      <w:pPr>
        <w:ind w:firstLineChars="200" w:firstLine="420"/>
      </w:pPr>
      <w:r>
        <w:rPr>
          <w:rFonts w:hint="eastAsia"/>
        </w:rPr>
        <w:t>一、生态环境质量状况</w:t>
      </w:r>
    </w:p>
    <w:p w:rsidR="00752AF0" w:rsidRDefault="00752AF0" w:rsidP="00752AF0">
      <w:pPr>
        <w:ind w:firstLineChars="200" w:firstLine="420"/>
      </w:pPr>
      <w:r>
        <w:rPr>
          <w:rFonts w:hint="eastAsia"/>
        </w:rPr>
        <w:t>（一）空气质量状况</w:t>
      </w:r>
    </w:p>
    <w:p w:rsidR="00752AF0" w:rsidRDefault="00752AF0" w:rsidP="00752AF0">
      <w:pPr>
        <w:ind w:firstLineChars="200" w:firstLine="420"/>
      </w:pPr>
      <w:r>
        <w:t>1-6</w:t>
      </w:r>
      <w:r>
        <w:t>月，梁溪区</w:t>
      </w:r>
      <w:r>
        <w:t>PM2.5</w:t>
      </w:r>
      <w:r>
        <w:t>年均浓度为</w:t>
      </w:r>
      <w:r>
        <w:t>29</w:t>
      </w:r>
      <w:r>
        <w:t>微克</w:t>
      </w:r>
      <w:r>
        <w:t>/</w:t>
      </w:r>
      <w:r>
        <w:t>立方米，同比下降</w:t>
      </w:r>
      <w:r>
        <w:t>5.2%</w:t>
      </w:r>
      <w:r>
        <w:t>；优良天数比率为</w:t>
      </w:r>
      <w:r>
        <w:t>80.1%</w:t>
      </w:r>
      <w:r>
        <w:t>，同比上升</w:t>
      </w:r>
      <w:r>
        <w:t>5.5</w:t>
      </w:r>
      <w:r>
        <w:t>个百分点，两项指标均同比改善。</w:t>
      </w:r>
    </w:p>
    <w:p w:rsidR="00752AF0" w:rsidRDefault="00752AF0" w:rsidP="00752AF0">
      <w:pPr>
        <w:ind w:firstLineChars="200" w:firstLine="420"/>
      </w:pPr>
      <w:r>
        <w:rPr>
          <w:rFonts w:hint="eastAsia"/>
        </w:rPr>
        <w:t>（二）水环境状况</w:t>
      </w:r>
    </w:p>
    <w:p w:rsidR="00752AF0" w:rsidRDefault="00752AF0" w:rsidP="00752AF0">
      <w:pPr>
        <w:ind w:firstLineChars="200" w:firstLine="420"/>
      </w:pPr>
      <w:r>
        <w:t>1-6</w:t>
      </w:r>
      <w:r>
        <w:t>月，梁溪区国、省考断面优</w:t>
      </w:r>
      <w:r>
        <w:t>Ⅲ</w:t>
      </w:r>
      <w:r>
        <w:t>比例为</w:t>
      </w:r>
      <w:r>
        <w:t>100%</w:t>
      </w:r>
      <w:r>
        <w:t>，其中，国考梁溪河蠡桥断面、国考京杭运河望亭上游断面、省考锡澄运河惠澄大桥断面均为</w:t>
      </w:r>
      <w:r>
        <w:t>Ⅲ</w:t>
      </w:r>
      <w:r>
        <w:t>类。</w:t>
      </w:r>
    </w:p>
    <w:p w:rsidR="00752AF0" w:rsidRDefault="00752AF0" w:rsidP="00752AF0">
      <w:pPr>
        <w:ind w:firstLineChars="200" w:firstLine="420"/>
      </w:pPr>
      <w:r>
        <w:t>1-5</w:t>
      </w:r>
      <w:r>
        <w:t>月，国省考断面</w:t>
      </w:r>
      <w:r>
        <w:t>25</w:t>
      </w:r>
      <w:r>
        <w:t>条一级支浜</w:t>
      </w:r>
      <w:r>
        <w:t>Ⅲ</w:t>
      </w:r>
      <w:r>
        <w:t>类及以上水体</w:t>
      </w:r>
      <w:r>
        <w:t>23</w:t>
      </w:r>
      <w:r>
        <w:t>条，优</w:t>
      </w:r>
      <w:r>
        <w:t>Ⅲ</w:t>
      </w:r>
      <w:r>
        <w:t>比例</w:t>
      </w:r>
      <w:r>
        <w:t>95.8%</w:t>
      </w:r>
      <w:r>
        <w:t>。</w:t>
      </w:r>
      <w:r>
        <w:t>61</w:t>
      </w:r>
      <w:r>
        <w:t>条市环境综合整治河道</w:t>
      </w:r>
      <w:r>
        <w:t>Ⅲ</w:t>
      </w:r>
      <w:r>
        <w:t>类以上水体占比</w:t>
      </w:r>
      <w:r>
        <w:t>93.3%</w:t>
      </w:r>
      <w:r>
        <w:t>，同比上升</w:t>
      </w:r>
      <w:r>
        <w:t>41</w:t>
      </w:r>
      <w:r>
        <w:t>个百分点。</w:t>
      </w:r>
    </w:p>
    <w:p w:rsidR="00752AF0" w:rsidRDefault="00752AF0" w:rsidP="00752AF0">
      <w:pPr>
        <w:ind w:firstLineChars="200" w:firstLine="420"/>
      </w:pPr>
      <w:r>
        <w:rPr>
          <w:rFonts w:hint="eastAsia"/>
        </w:rPr>
        <w:t>二、重点工程推进情况</w:t>
      </w:r>
    </w:p>
    <w:p w:rsidR="00752AF0" w:rsidRDefault="00752AF0" w:rsidP="00752AF0">
      <w:pPr>
        <w:ind w:firstLineChars="200" w:firstLine="420"/>
      </w:pPr>
      <w:r>
        <w:t>1-6</w:t>
      </w:r>
      <w:r>
        <w:t>月，市下达我区的</w:t>
      </w:r>
      <w:r>
        <w:t>46</w:t>
      </w:r>
      <w:r>
        <w:t>个污染防治攻坚战年度目标任务，</w:t>
      </w:r>
      <w:r>
        <w:t>26</w:t>
      </w:r>
      <w:r>
        <w:t>个量化指标任务完成</w:t>
      </w:r>
      <w:r>
        <w:t>12</w:t>
      </w:r>
      <w:r>
        <w:t>个，完成率</w:t>
      </w:r>
      <w:r>
        <w:t>46.2%</w:t>
      </w:r>
      <w:r>
        <w:t>，</w:t>
      </w:r>
      <w:r>
        <w:t>72</w:t>
      </w:r>
      <w:r>
        <w:t>个建设项目完成</w:t>
      </w:r>
      <w:r>
        <w:t>60</w:t>
      </w:r>
      <w:r>
        <w:t>个，完成率</w:t>
      </w:r>
      <w:r>
        <w:t>83.3%</w:t>
      </w:r>
      <w:r>
        <w:t>。主要内容有：</w:t>
      </w:r>
    </w:p>
    <w:p w:rsidR="00752AF0" w:rsidRDefault="00752AF0" w:rsidP="00752AF0">
      <w:pPr>
        <w:ind w:firstLineChars="200" w:firstLine="420"/>
      </w:pPr>
      <w:r>
        <w:rPr>
          <w:rFonts w:hint="eastAsia"/>
        </w:rPr>
        <w:t>（一）深入推进新一轮太湖治理。</w:t>
      </w:r>
      <w:r>
        <w:t>9</w:t>
      </w:r>
      <w:r>
        <w:t>项年度太湖治理重点工程项目均达到时序进度，入湖河流梁溪河达到水质要求及控制浓度。深化涉磷企业整治提升，建立落实涉磷企业动态清单管理制度，</w:t>
      </w:r>
      <w:r>
        <w:t>121</w:t>
      </w:r>
      <w:r>
        <w:t>家涉磷企业排查整治任务已完成</w:t>
      </w:r>
      <w:r>
        <w:t>102</w:t>
      </w:r>
      <w:r>
        <w:t>家，累计完成率</w:t>
      </w:r>
      <w:r>
        <w:t>84.3%</w:t>
      </w:r>
      <w:r>
        <w:t>。紧盯主要入湖河流及调水通道等重要水体水质、水量或藻情状况，有效落实针对性防控举措。</w:t>
      </w:r>
    </w:p>
    <w:p w:rsidR="00752AF0" w:rsidRDefault="00752AF0" w:rsidP="00752AF0">
      <w:pPr>
        <w:ind w:firstLineChars="200" w:firstLine="420"/>
      </w:pPr>
      <w:r>
        <w:rPr>
          <w:rFonts w:hint="eastAsia"/>
        </w:rPr>
        <w:t>（二）深入打好碧水保卫战。着力确保国省考断面稳定达标，开展惠澄大桥断面溯源排查、重点支浜、闸泵站监测预警，完成工业废水与生活污水分质处理评估及区域水污染物平衡初步核算，持续推进挥发酚、氟化物污染治理专项行动，推动区域入河排污口排查整治，建成</w:t>
      </w:r>
      <w:r>
        <w:t>1</w:t>
      </w:r>
      <w:r>
        <w:t>条市级美丽河湖，全面巩固提升河湖治理成效。</w:t>
      </w:r>
    </w:p>
    <w:p w:rsidR="00752AF0" w:rsidRDefault="00752AF0" w:rsidP="00752AF0">
      <w:pPr>
        <w:ind w:firstLineChars="200" w:firstLine="420"/>
      </w:pPr>
      <w:r>
        <w:rPr>
          <w:rFonts w:hint="eastAsia"/>
        </w:rPr>
        <w:t>（三）深入打好蓝天保卫战。推动各街道建立溯源排查图，优化国控站点工作站巡查机制，落实专人专班，加大国控点周边工地扬尘、餐饮油烟等问题排查整改力度，完善重污染天气区域联防联控机制；突出</w:t>
      </w:r>
      <w:r>
        <w:t>PM2.5</w:t>
      </w:r>
      <w:r>
        <w:t>和</w:t>
      </w:r>
      <w:r>
        <w:t>O3</w:t>
      </w:r>
      <w:r>
        <w:t>协同治理，</w:t>
      </w:r>
      <w:r>
        <w:t>354</w:t>
      </w:r>
      <w:r>
        <w:t>个年度大气污染防治项目建设完成率</w:t>
      </w:r>
      <w:r>
        <w:t>66.5%</w:t>
      </w:r>
      <w:r>
        <w:t>；推进汽修行业源头替代，配合市环保集团建成</w:t>
      </w:r>
      <w:r>
        <w:t>1</w:t>
      </w:r>
      <w:r>
        <w:t>家全水性钣喷中心，</w:t>
      </w:r>
      <w:r>
        <w:t>11</w:t>
      </w:r>
      <w:r>
        <w:t>家企业完成半水性替代。持续推进高排放车辆淘汰及柴油车路检，落实非道移动机械、加油站抽检任务，检查柴油车</w:t>
      </w:r>
      <w:r>
        <w:t>430</w:t>
      </w:r>
      <w:r>
        <w:t>辆、非道路移动机械</w:t>
      </w:r>
      <w:r>
        <w:t>119</w:t>
      </w:r>
      <w:r>
        <w:t>辆，检查加油站油气回收</w:t>
      </w:r>
      <w:r>
        <w:t>35</w:t>
      </w:r>
      <w:r>
        <w:t>座次。强化污染天联防联控，组织各</w:t>
      </w:r>
      <w:r>
        <w:rPr>
          <w:rFonts w:hint="eastAsia"/>
        </w:rPr>
        <w:t>相关部门及属地街道积极防范应对污染天，全力以赴抢夺优良天。</w:t>
      </w:r>
    </w:p>
    <w:p w:rsidR="00752AF0" w:rsidRDefault="00752AF0" w:rsidP="00752AF0">
      <w:pPr>
        <w:ind w:firstLineChars="200" w:firstLine="420"/>
      </w:pPr>
      <w:r>
        <w:rPr>
          <w:rFonts w:hint="eastAsia"/>
        </w:rPr>
        <w:t>（四）深入打好净土保卫战。强化污染防治先行区建设，加快推进东泰化工、格林艾普、罗地亚等</w:t>
      </w:r>
      <w:r>
        <w:t>4</w:t>
      </w:r>
      <w:r>
        <w:t>个污染地块土壤调查及焦化厂西厂区土壤修复，加强贵金属、协联热电厂等地块风险管控，推动土壤治理信息化管理，建设土壤治理全过程监管平台，打造土壤污染防治工程实施平台。严格建设用地土壤环境质量准入管理，发布《梁溪区土壤污染状况调查评审要点》，重点建设用地安全利用率保持</w:t>
      </w:r>
      <w:r>
        <w:t>100%</w:t>
      </w:r>
      <w:r>
        <w:t>。制定出台《污染地块地下水修复质量控制指南》，填补无锡地区乃至省内地下水修复领域的标准空白。推动地下水环境质量提升，南市桥巷地下水环境质量国考点水质达到</w:t>
      </w:r>
      <w:r>
        <w:t>Ⅳ</w:t>
      </w:r>
      <w:r>
        <w:rPr>
          <w:rFonts w:hint="eastAsia"/>
        </w:rPr>
        <w:t>类。深入推进“无废城市”建设，制定《无锡市梁溪区</w:t>
      </w:r>
      <w:r>
        <w:t>2023</w:t>
      </w:r>
      <w:r>
        <w:t>年</w:t>
      </w:r>
      <w:r>
        <w:t>“</w:t>
      </w:r>
      <w:r>
        <w:t>无废城市</w:t>
      </w:r>
      <w:r>
        <w:t>”</w:t>
      </w:r>
      <w:r>
        <w:t>建设年度工作计划及评价细则》。启动一般工业固废区级分拣中心运营，一般工业固废收运处理覆盖面提升至</w:t>
      </w:r>
      <w:r>
        <w:t>80%</w:t>
      </w:r>
      <w:r>
        <w:t>以上。</w:t>
      </w:r>
    </w:p>
    <w:p w:rsidR="00752AF0" w:rsidRDefault="00752AF0" w:rsidP="00471F1A">
      <w:pPr>
        <w:jc w:val="right"/>
      </w:pPr>
      <w:r w:rsidRPr="00471F1A">
        <w:rPr>
          <w:rFonts w:hint="eastAsia"/>
        </w:rPr>
        <w:t>梁溪生态环境局</w:t>
      </w:r>
      <w:r>
        <w:rPr>
          <w:rFonts w:hint="eastAsia"/>
        </w:rPr>
        <w:t>2023-8-4</w:t>
      </w:r>
    </w:p>
    <w:p w:rsidR="00752AF0" w:rsidRDefault="00752AF0" w:rsidP="003D62C3">
      <w:pPr>
        <w:sectPr w:rsidR="00752AF0" w:rsidSect="003D62C3">
          <w:type w:val="continuous"/>
          <w:pgSz w:w="11906" w:h="16838"/>
          <w:pgMar w:top="1644" w:right="1236" w:bottom="1418" w:left="1814" w:header="851" w:footer="907" w:gutter="0"/>
          <w:pgNumType w:start="1"/>
          <w:cols w:space="720"/>
          <w:docGrid w:type="lines" w:linePitch="341" w:charSpace="2373"/>
        </w:sectPr>
      </w:pPr>
    </w:p>
    <w:p w:rsidR="005B41D7" w:rsidRDefault="005B41D7"/>
    <w:sectPr w:rsidR="005B41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2AF0"/>
    <w:rsid w:val="005B41D7"/>
    <w:rsid w:val="00752AF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52A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52AF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216</Words>
  <Characters>1236</Characters>
  <Application>Microsoft Office Word</Application>
  <DocSecurity>0</DocSecurity>
  <Lines>10</Lines>
  <Paragraphs>2</Paragraphs>
  <ScaleCrop>false</ScaleCrop>
  <Company>Microsoft</Company>
  <LinksUpToDate>false</LinksUpToDate>
  <CharactersWithSpaces>1450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2023-08-08T01:33:00Z</dcterms:created>
</cp:coreProperties>
</file>