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8BC" w:rsidRDefault="006918BC" w:rsidP="00711E29">
      <w:pPr>
        <w:pStyle w:val="1"/>
      </w:pPr>
      <w:r w:rsidRPr="00711E29">
        <w:rPr>
          <w:rFonts w:hint="eastAsia"/>
        </w:rPr>
        <w:t>打造“六最”营商环境，南阳这样干</w:t>
      </w:r>
    </w:p>
    <w:p w:rsidR="006918BC" w:rsidRDefault="006918BC" w:rsidP="006918BC">
      <w:pPr>
        <w:ind w:firstLineChars="200" w:firstLine="420"/>
      </w:pPr>
      <w:r>
        <w:t>8</w:t>
      </w:r>
      <w:r>
        <w:t>月</w:t>
      </w:r>
      <w:r>
        <w:t>3</w:t>
      </w:r>
      <w:r>
        <w:t>日，市政府新闻办公室召开</w:t>
      </w:r>
      <w:r>
        <w:t>“</w:t>
      </w:r>
      <w:r>
        <w:t>打造</w:t>
      </w:r>
      <w:r>
        <w:t>‘</w:t>
      </w:r>
      <w:r>
        <w:t>六最</w:t>
      </w:r>
      <w:r>
        <w:t>’</w:t>
      </w:r>
      <w:r>
        <w:t>营商环境助推副中心崛起</w:t>
      </w:r>
      <w:r>
        <w:t>”</w:t>
      </w:r>
      <w:r>
        <w:t>系列专题新闻发布会（第二场），市市场监管局、市住房和城乡建设局、市自然资源和规划局、市金融工作局、市税务局等部门相关负责人，介绍了我市在纵深推进市场化改革，持续激发市场活力方面推出的相关政策措施和取得的亮点成效，并回答了记者提问。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今年以来，我市以最高标准、最高水平，全面推动市场准入、公平竞争、市场监管、社会信用等市场经济基础制度的系统性、集成性、重塑性改革，激发市场活力和社会创造力，着力打造“六最”营商环境金字招牌，为推进“一二三六十”工作布局，建设现代化省域副中心城市提供了强有力支撑。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看看这些亮点——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彰显南阳营商环境之优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今年上半年，实现全市新增市场主体</w:t>
      </w:r>
      <w:r>
        <w:t>13.89</w:t>
      </w:r>
      <w:r>
        <w:t>万户，累计存量市场主体</w:t>
      </w:r>
      <w:r>
        <w:t>100.59</w:t>
      </w:r>
      <w:r>
        <w:t>万户，同比增长</w:t>
      </w:r>
      <w:r>
        <w:t>29.7%</w:t>
      </w:r>
      <w:r>
        <w:t>，高于全省平均增速</w:t>
      </w:r>
      <w:r>
        <w:t>12.4</w:t>
      </w:r>
      <w:r>
        <w:t>个百分点，增速和总量均居全省第二。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各类项目全流程审批时限压缩至</w:t>
      </w:r>
      <w:r>
        <w:t>4.5</w:t>
      </w:r>
      <w:r>
        <w:t>至</w:t>
      </w:r>
      <w:r>
        <w:t>31</w:t>
      </w:r>
      <w:r>
        <w:t>个工作日，被省深改委列为改革典型案例红榜。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南阳“办理建筑许可”指标，在</w:t>
      </w:r>
      <w:r>
        <w:t>2021</w:t>
      </w:r>
      <w:r>
        <w:t>年全省营商环境评价中排名第</w:t>
      </w:r>
      <w:r>
        <w:t>4</w:t>
      </w:r>
      <w:r>
        <w:t>，位居第一方阵，比上年度提升了</w:t>
      </w:r>
      <w:r>
        <w:t>8</w:t>
      </w:r>
      <w:r>
        <w:t>个位次。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我市银行保险业发展良好，多项数据指标排名全省前列，进入第一方阵。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今年上半年，我市各项存款余额</w:t>
      </w:r>
      <w:r>
        <w:t>7188</w:t>
      </w:r>
      <w:r>
        <w:t>亿元，比年初增加</w:t>
      </w:r>
      <w:r>
        <w:t>588</w:t>
      </w:r>
      <w:r>
        <w:t>亿元，全省排第</w:t>
      </w:r>
      <w:r>
        <w:t>2</w:t>
      </w:r>
      <w:r>
        <w:t>位。各项贷款余额</w:t>
      </w:r>
      <w:r>
        <w:t>4112</w:t>
      </w:r>
      <w:r>
        <w:t>亿元，比年初增加</w:t>
      </w:r>
      <w:r>
        <w:t>453</w:t>
      </w:r>
      <w:r>
        <w:t>亿元，比去年全年增加额多出</w:t>
      </w:r>
      <w:r>
        <w:t>120</w:t>
      </w:r>
      <w:r>
        <w:t>亿元，全省排第</w:t>
      </w:r>
      <w:r>
        <w:t>2</w:t>
      </w:r>
      <w:r>
        <w:t>位。我市保费收入</w:t>
      </w:r>
      <w:r>
        <w:t>122.58</w:t>
      </w:r>
      <w:r>
        <w:t>亿元，规模稳居全省第</w:t>
      </w:r>
      <w:r>
        <w:t>2</w:t>
      </w:r>
      <w:r>
        <w:t>位。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市不动产登记机构分别与湖北省襄阳市、荆州市相互实现了</w:t>
      </w:r>
      <w:r>
        <w:t>10</w:t>
      </w:r>
      <w:r>
        <w:t>项常规高频业务</w:t>
      </w:r>
      <w:r>
        <w:t>“</w:t>
      </w:r>
      <w:r>
        <w:t>跨省通办</w:t>
      </w:r>
      <w:r>
        <w:t>”</w:t>
      </w:r>
      <w:r>
        <w:t>，</w:t>
      </w:r>
      <w:r>
        <w:t>1</w:t>
      </w:r>
      <w:r>
        <w:t>个工作日办结，真正做到足不出省，就近实现不动产登记业务跨省办。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实施三个“着力”——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激发市场活力社会创造力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市市场监管局着力审批制度重塑性改革，打造快捷便利的准入退出环境。持续推进“开办企业一件事全流程零成本</w:t>
      </w:r>
      <w:r>
        <w:t>4</w:t>
      </w:r>
      <w:r>
        <w:t>小时办结</w:t>
      </w:r>
      <w:r>
        <w:t>”</w:t>
      </w:r>
      <w:r>
        <w:t>改革；推行</w:t>
      </w:r>
      <w:r>
        <w:t>“</w:t>
      </w:r>
      <w:r>
        <w:t>企业开办</w:t>
      </w:r>
      <w:r>
        <w:t>+N</w:t>
      </w:r>
      <w:r>
        <w:t>项服务</w:t>
      </w:r>
      <w:r>
        <w:t>”</w:t>
      </w:r>
      <w:r>
        <w:t>；扩展</w:t>
      </w:r>
      <w:r>
        <w:t>“</w:t>
      </w:r>
      <w:r>
        <w:t>证照联办</w:t>
      </w:r>
      <w:r>
        <w:t>”</w:t>
      </w:r>
      <w:r>
        <w:t>范围，推进一件事一次办；开展</w:t>
      </w:r>
      <w:r>
        <w:t>“</w:t>
      </w:r>
      <w:r>
        <w:t>开办企业</w:t>
      </w:r>
      <w:r>
        <w:t>”</w:t>
      </w:r>
      <w:r>
        <w:t>智慧审批进市场、进街道社区、进金融机构、进工业园区的</w:t>
      </w:r>
      <w:r>
        <w:t>“</w:t>
      </w:r>
      <w:r>
        <w:t>四进</w:t>
      </w:r>
      <w:r>
        <w:t>”</w:t>
      </w:r>
      <w:r>
        <w:t>活动；推行市场主体住所（经营场所）标准化登记；推行</w:t>
      </w:r>
      <w:r>
        <w:t>“</w:t>
      </w:r>
      <w:r>
        <w:t>证照分离</w:t>
      </w:r>
      <w:r>
        <w:t>”</w:t>
      </w:r>
      <w:r>
        <w:t>事项和区域全覆盖，着力破解企业</w:t>
      </w:r>
      <w:r>
        <w:t>“</w:t>
      </w:r>
      <w:r>
        <w:t>准入不准营</w:t>
      </w:r>
      <w:r>
        <w:t>”“</w:t>
      </w:r>
      <w:r>
        <w:t>办照容易办证难</w:t>
      </w:r>
      <w:r>
        <w:t>”</w:t>
      </w:r>
      <w:r>
        <w:t>等问题；推进涉企审批许可</w:t>
      </w:r>
      <w:r>
        <w:t>“</w:t>
      </w:r>
      <w:r>
        <w:t>先证后查</w:t>
      </w:r>
      <w:r>
        <w:t>”</w:t>
      </w:r>
      <w:r>
        <w:t>；扎实落实企业歇业制度；推进企业注销便利化改革，提高企业转型发展效率。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着力构建统一大市场，打造规范、公平、开放的市场环境。坚持平等对待各类市场主体；完善公平竞争审查制度，制止地方政府及部门滥用行政权力排除、限制竞争；开展专项行动，制止行政权力滥用。依法查处不正当竞争行为，保障公平竞争市场环境。上半年，共审查存量政策措施</w:t>
      </w:r>
      <w:r>
        <w:t>128</w:t>
      </w:r>
      <w:r>
        <w:t>件，废除修改妨碍公平竞争措施</w:t>
      </w:r>
      <w:r>
        <w:t>8</w:t>
      </w:r>
      <w:r>
        <w:t>条，查处各类不正当竞争案件</w:t>
      </w:r>
      <w:r>
        <w:t>15</w:t>
      </w:r>
      <w:r>
        <w:t>件，有效维护了公平竞争市场秩序。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着力完善双随机、一公开监管机制，构建监管保护与服务并举的工作格局。实施双随机监管机制，部门联动提升监管效能，探索综合监管机制，推进智慧监管常态化，推行信用分级分类监管，以高质量的营商环境服务我市经济高质量发展。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探索“跨省通办”——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破解“多地跑”“折返跑”难题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市自然资源和规划局不断优化不动产登记领域营商环境，解决老百姓办理不动产登记“多地跑”“折返跑”问题。</w:t>
      </w:r>
      <w:r>
        <w:t>2022</w:t>
      </w:r>
      <w:r>
        <w:t>年</w:t>
      </w:r>
      <w:r>
        <w:t>9</w:t>
      </w:r>
      <w:r>
        <w:t>月和</w:t>
      </w:r>
      <w:r>
        <w:t>2023</w:t>
      </w:r>
      <w:r>
        <w:t>年</w:t>
      </w:r>
      <w:r>
        <w:t>5</w:t>
      </w:r>
      <w:r>
        <w:t>月，市不动产登记机构分别与湖北省襄阳市、荆州市相互实现了十项常规高频业务</w:t>
      </w:r>
      <w:r>
        <w:t>“</w:t>
      </w:r>
      <w:r>
        <w:t>跨省通办</w:t>
      </w:r>
      <w:r>
        <w:t>”</w:t>
      </w:r>
      <w:r>
        <w:t>，分别是：商品房预售，抵押涉及的不动产预告登记，不动产登记资料查询，不动产抵押登记，国有建设用地使用权及房屋所有权转移登记（夫妻间更名），国有建设用地使用权及房屋所有权变更登记，土地及房屋查封登记，土地及房屋轮候查封登记，土地及房屋解封登记，土地及房屋续查封登记，土地及房屋权属证书补换证登记等。目前</w:t>
      </w:r>
      <w:r>
        <w:rPr>
          <w:rFonts w:hint="eastAsia"/>
        </w:rPr>
        <w:t>，我市与湖北省襄阳市、荆州市可以实现以上</w:t>
      </w:r>
      <w:r>
        <w:t>10</w:t>
      </w:r>
      <w:r>
        <w:t>项高频业务，</w:t>
      </w:r>
      <w:r>
        <w:t>1</w:t>
      </w:r>
      <w:r>
        <w:t>个工作日办结，真正做到足不出省，就近实现不动产登记业务跨省办。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打造“极简审批”——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让一流营商环境成最亮名片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“工改”是深化“放管服”改革、转变政府职能、优化营商环境的一项重要内容。市住建局发挥牵头作用，不断优化审批流程，完善审批管理体系。全力以赴打造“极简审批”，让一流营商环境成为现代化省域副中心城市建设的最大优势、最亮名片。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对标一流目标，再造流程减时限。对标全国最优审批改革目标，持续优流程、减时限，对现行</w:t>
      </w:r>
      <w:r>
        <w:t>19</w:t>
      </w:r>
      <w:r>
        <w:t>大类工程项目审批流程优化再造，最长审批时限压缩至</w:t>
      </w:r>
      <w:r>
        <w:t>31</w:t>
      </w:r>
      <w:r>
        <w:t>个工作日，平均压缩</w:t>
      </w:r>
      <w:r>
        <w:t>20%</w:t>
      </w:r>
      <w:r>
        <w:t>以上。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完善政策机制，深化改革简审批。持续深化多规合一、区域评估和“五联合”（联合会商、联合评审、联合图审、联合测绘、联合验收）等多项改革举措，研究出台配套政策文件</w:t>
      </w:r>
      <w:r>
        <w:t>300</w:t>
      </w:r>
      <w:r>
        <w:t>多个，对中介服务、并联审批等进行规范提升。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加大服务创新，多策并举助发展。降低企业成本，建强服务平台，实施区域评估。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聚焦目标任务——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全力提升各项金融指标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市金融工作局凝聚全市金融系统力量，聚焦全年经济发展“保</w:t>
      </w:r>
      <w:r>
        <w:t>8</w:t>
      </w:r>
      <w:r>
        <w:t>争</w:t>
      </w:r>
      <w:r>
        <w:t>9”</w:t>
      </w:r>
      <w:r>
        <w:t>目标任务，践行市委市政府</w:t>
      </w:r>
      <w:r>
        <w:t>“</w:t>
      </w:r>
      <w:r>
        <w:t>四个极限</w:t>
      </w:r>
      <w:r>
        <w:t>”</w:t>
      </w:r>
      <w:r>
        <w:t>理念，按照打造</w:t>
      </w:r>
      <w:r>
        <w:t>“</w:t>
      </w:r>
      <w:r>
        <w:t>六最</w:t>
      </w:r>
      <w:r>
        <w:t>”</w:t>
      </w:r>
      <w:r>
        <w:t>营商环境要求，全力提升各项金融指标。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上半年，我市银行保险业发展良好，存贷款、保险业等多项数据指标排名全省前列，进入第一方阵。同时，市金融工作局会同人行南阳市中心支行、国家金融监管总局南阳监管分局，通过强化政策引领，充分激发金融系统活力；坚持“项目为王”理念，加大金融支持力度；“线上线下”全面发力，切实发挥银企对接成效；深化交流合作，积极争取省级金融资源支持；强化“保企对接”，畅通保费增长新渠道；积极推动业务创新，打造保费增长点等，多措并举争先进位，为我市高质量建设现代化省域副中心城市提供有力金融支撑。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退税减税降费——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优惠政策应享尽享精准落地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作为国家税收政策落实的主责单位，市税务局始终把退税减税降费作为政治任务扛稳抓牢，通过健全机制、优化服务、强化督导等多措并举，确保优惠政策不打折扣、精准落地。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健全工作机制，以最高站位保障政策落实力度。突出政府主导，强化协同发力，聚焦税务主责。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创新服务举措，以最优服务实现政策直达快享。宣传解读到位，精准服务到位，升级提速到位。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强化督导问责，以最严监督确保政策落地见效。坚持把新的组合式税费支持政策作为监督重点，市税务局纪检组深入县（市、区）局进行实地监督检查，对工作不力单位下发纪律检查建议书。</w:t>
      </w:r>
    </w:p>
    <w:p w:rsidR="006918BC" w:rsidRDefault="006918BC" w:rsidP="006918BC">
      <w:pPr>
        <w:ind w:firstLineChars="200" w:firstLine="420"/>
      </w:pPr>
      <w:r>
        <w:rPr>
          <w:rFonts w:hint="eastAsia"/>
        </w:rPr>
        <w:t>优惠政策应享尽享，全市退税减税降费成果丰硕。今年上半年，全市新增减税降费及退缓税费</w:t>
      </w:r>
      <w:r>
        <w:t>14.2</w:t>
      </w:r>
      <w:r>
        <w:t>亿元，其中小规模纳税人减征、免征增值税</w:t>
      </w:r>
      <w:r>
        <w:t>7.1</w:t>
      </w:r>
      <w:r>
        <w:t>亿元，小型微利企业所得税减免优惠</w:t>
      </w:r>
      <w:r>
        <w:t>1.9</w:t>
      </w:r>
      <w:r>
        <w:t>亿元，继续实施的阶段性降低工伤、失业保险费率政策，新增降费</w:t>
      </w:r>
      <w:r>
        <w:t>1.7</w:t>
      </w:r>
      <w:r>
        <w:t>亿元。</w:t>
      </w:r>
    </w:p>
    <w:p w:rsidR="006918BC" w:rsidRDefault="006918BC" w:rsidP="00711E29">
      <w:pPr>
        <w:jc w:val="right"/>
      </w:pPr>
      <w:r w:rsidRPr="00711E29">
        <w:rPr>
          <w:rFonts w:hint="eastAsia"/>
        </w:rPr>
        <w:t>南阳</w:t>
      </w:r>
      <w:r>
        <w:rPr>
          <w:rFonts w:hint="eastAsia"/>
        </w:rPr>
        <w:t>日报</w:t>
      </w:r>
      <w:r>
        <w:rPr>
          <w:rFonts w:hint="eastAsia"/>
        </w:rPr>
        <w:t>2023-8-4</w:t>
      </w:r>
    </w:p>
    <w:p w:rsidR="006918BC" w:rsidRDefault="006918BC" w:rsidP="0081171C">
      <w:pPr>
        <w:sectPr w:rsidR="006918BC" w:rsidSect="0081171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C39BC" w:rsidRDefault="008C39BC"/>
    <w:sectPr w:rsidR="008C39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918BC"/>
    <w:rsid w:val="006918BC"/>
    <w:rsid w:val="008C39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918B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918B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404</Words>
  <Characters>2309</Characters>
  <Application>Microsoft Office Word</Application>
  <DocSecurity>0</DocSecurity>
  <Lines>19</Lines>
  <Paragraphs>5</Paragraphs>
  <ScaleCrop>false</ScaleCrop>
  <Company>Microsoft</Company>
  <LinksUpToDate>false</LinksUpToDate>
  <CharactersWithSpaces>2708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2023-08-08T01:15:00Z</dcterms:created>
</cp:coreProperties>
</file>