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D3D" w:rsidRDefault="002B1D3D" w:rsidP="00711E29">
      <w:pPr>
        <w:pStyle w:val="1"/>
      </w:pPr>
      <w:r w:rsidRPr="00711E29">
        <w:rPr>
          <w:rFonts w:hint="eastAsia"/>
        </w:rPr>
        <w:t>创新赋能“镇合意”，优化营商环境加速跑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营商环境提优、项目建设提质、企业发展提速，得益于这组正向关系的持续发力，镇江发展沃土厚植，经济活力释放。近日，市营商办公布了一份沉甸甸的“榜单”——</w:t>
      </w:r>
      <w:r>
        <w:t>2023</w:t>
      </w:r>
      <w:r>
        <w:t>年第一批优化营商环境创新案例。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规划审批和施工图审查三联机制；“多测合一”提升项目建设加速度；“一窗通办</w:t>
      </w:r>
      <w:r>
        <w:t xml:space="preserve"> </w:t>
      </w:r>
      <w:r>
        <w:t>收审分离</w:t>
      </w:r>
      <w:r>
        <w:t>”</w:t>
      </w:r>
      <w:r>
        <w:t>助力政务服务效能提升；不动产登记</w:t>
      </w:r>
      <w:r>
        <w:t>“</w:t>
      </w:r>
      <w:r>
        <w:t>带押过户</w:t>
      </w:r>
      <w:r>
        <w:t>”</w:t>
      </w:r>
      <w:r>
        <w:t>实现</w:t>
      </w:r>
      <w:r>
        <w:t>“</w:t>
      </w:r>
      <w:r>
        <w:t>四个零</w:t>
      </w:r>
      <w:r>
        <w:t>”……</w:t>
      </w:r>
      <w:r>
        <w:t>聚焦发展所向、企业所需，各部门、各板块在服务重大项目建设、破解企业发展难题、推出便民举措等方面开拓创新、先行先试，不仅为市场经营主体稳预期、增信心、强活力提供了有力支撑，更为继续推动改革走深走实提供了解题思路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小切口直击痛点堵点</w:t>
      </w:r>
    </w:p>
    <w:p w:rsidR="002B1D3D" w:rsidRDefault="002B1D3D" w:rsidP="002B1D3D">
      <w:pPr>
        <w:ind w:firstLineChars="200" w:firstLine="420"/>
      </w:pPr>
      <w:r>
        <w:t>20</w:t>
      </w:r>
      <w:r>
        <w:t>个创新案例有一个共性特点</w:t>
      </w:r>
      <w:r>
        <w:t>——</w:t>
      </w:r>
      <w:r>
        <w:t>切入口小而精准，直击痛点堵点。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“</w:t>
      </w:r>
      <w:r>
        <w:t>20</w:t>
      </w:r>
      <w:r>
        <w:t>个创新案例，也是</w:t>
      </w:r>
      <w:r>
        <w:t>20</w:t>
      </w:r>
      <w:r>
        <w:t>项硬核改革，以问题为导向，切中了当下发展的需求和存在的问题。</w:t>
      </w:r>
      <w:r>
        <w:t>”</w:t>
      </w:r>
      <w:r>
        <w:t>市发改委主任谈沁磊说，正是这一次次向难而行，镇江营商环境得以优化提升，让企业有了更多获得感。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“‘多测合一’改革，不仅带来了便利，还节省了真金白银。”镇江铭城置业有限公司润州区</w:t>
      </w:r>
      <w:r>
        <w:t>R1908</w:t>
      </w:r>
      <w:r>
        <w:t>地块开发项目负责人对比了前后变化：改革之前，一个工程建设项目从开始用地到竣工，要多次委托，需要投入大量人力物力；实行</w:t>
      </w:r>
      <w:r>
        <w:t>“</w:t>
      </w:r>
      <w:r>
        <w:t>多测合一</w:t>
      </w:r>
      <w:r>
        <w:t>”</w:t>
      </w:r>
      <w:r>
        <w:t>改革后，只要委托一家测绘单位就可以完成所有测绘，时间压缩了三分之一，不仅为项目交付赢得了宝贵时间，还节省了多次测量的费用。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市自然资源和规划局优化整合测绘中介服务事项，在全省率先实行全流程“多测合一”，将建设项目的全流程测绘服务优化整合为报批测绘、供地测绘、施工许可和竣工验收测绘</w:t>
      </w:r>
      <w:r>
        <w:t>4</w:t>
      </w:r>
      <w:r>
        <w:t>项测绘服务，并于去年</w:t>
      </w:r>
      <w:r>
        <w:t>4</w:t>
      </w:r>
      <w:r>
        <w:t>月上线</w:t>
      </w:r>
      <w:r>
        <w:t>“</w:t>
      </w:r>
      <w:r>
        <w:t>多测合一</w:t>
      </w:r>
      <w:r>
        <w:t>”</w:t>
      </w:r>
      <w:r>
        <w:t>信息平台，截至目前，共有</w:t>
      </w:r>
      <w:r>
        <w:t>80</w:t>
      </w:r>
      <w:r>
        <w:t>多个测绘项目、</w:t>
      </w:r>
      <w:r>
        <w:t>200</w:t>
      </w:r>
      <w:r>
        <w:t>多个测绘中介服务事项线上运行并顺利完结，约占市区</w:t>
      </w:r>
      <w:r>
        <w:t>“</w:t>
      </w:r>
      <w:r>
        <w:t>多测合一</w:t>
      </w:r>
      <w:r>
        <w:t>”</w:t>
      </w:r>
      <w:r>
        <w:t>项目总量的</w:t>
      </w:r>
      <w:r>
        <w:t>70%</w:t>
      </w:r>
      <w:r>
        <w:t>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“小切口”里藏着改革的“大需求”。针对经营主体退出的难点，市市场监管局推行注销便利化改革。“经营主体可以通过企业全链通综合服务系统平台，简易注销一网申报，实时了解办理进度。”市市场监管局相关负责人介绍，今年全市已有</w:t>
      </w:r>
      <w:r>
        <w:t>4068</w:t>
      </w:r>
      <w:r>
        <w:t>户企业完成注销退出市场，其中</w:t>
      </w:r>
      <w:r>
        <w:t>3003</w:t>
      </w:r>
      <w:r>
        <w:t>户企业通过简易注销流程快速退出，占比</w:t>
      </w:r>
      <w:r>
        <w:t>73.82%</w:t>
      </w:r>
      <w:r>
        <w:t>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“奔着问题去，向着难处行，切实解决经营主体发展面临的突出问题，创造性落实各个决策部署，是这一批创新案例的鲜明特征。”市发改委副主任石子刚表示，此次公布的创新案例分为</w:t>
      </w:r>
      <w:r>
        <w:t>4</w:t>
      </w:r>
      <w:r>
        <w:t>个示范案例、</w:t>
      </w:r>
      <w:r>
        <w:t>16</w:t>
      </w:r>
      <w:r>
        <w:t>个探索案例，就是要鼓励各地各部门大胆探索、积极创新，以更大力度的改革，推动形成更多</w:t>
      </w:r>
      <w:r>
        <w:t>“</w:t>
      </w:r>
      <w:r>
        <w:t>镇江经验</w:t>
      </w:r>
      <w:r>
        <w:t>”“</w:t>
      </w:r>
      <w:r>
        <w:t>镇江做法</w:t>
      </w:r>
      <w:r>
        <w:t>”</w:t>
      </w:r>
      <w:r>
        <w:t>，持续擦亮</w:t>
      </w:r>
      <w:r>
        <w:t>“</w:t>
      </w:r>
      <w:r>
        <w:t>镇合意</w:t>
      </w:r>
      <w:r>
        <w:t>”</w:t>
      </w:r>
      <w:r>
        <w:t>优化营商环境服务品牌。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刀刃向内改革向深入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营商环境优化提升，本质上是“刀刃向内”的改革。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近日，镇江首笔非公证继承“带押过户”登记业务在市不动产登记交易中心成功办结。这标志着镇江在离婚析产、交易转让、司法裁定、赠与继承等存量不动产登记交易业务中，实现不动产“带押过户”全覆盖。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在不动产“带押过户”过程中，市自然资源和规划局运用“互联网</w:t>
      </w:r>
      <w:r>
        <w:t>+”</w:t>
      </w:r>
      <w:r>
        <w:t>和</w:t>
      </w:r>
      <w:r>
        <w:t>“</w:t>
      </w:r>
      <w:r>
        <w:t>线上苏小登</w:t>
      </w:r>
      <w:r>
        <w:t>”</w:t>
      </w:r>
      <w:r>
        <w:t>，依托在金融机构设立的</w:t>
      </w:r>
      <w:r>
        <w:t>140</w:t>
      </w:r>
      <w:r>
        <w:t>多个便民服务点，将服务前置，对</w:t>
      </w:r>
      <w:r>
        <w:t>“</w:t>
      </w:r>
      <w:r>
        <w:t>带押过户</w:t>
      </w:r>
      <w:r>
        <w:t>”</w:t>
      </w:r>
      <w:r>
        <w:t>由金融机构直接受理，实现了</w:t>
      </w:r>
      <w:r>
        <w:t>“</w:t>
      </w:r>
      <w:r>
        <w:t>四个零</w:t>
      </w:r>
      <w:r>
        <w:t>”</w:t>
      </w:r>
      <w:r>
        <w:t>，即降低交易成本为零、办理等待时间为零、交易风险为零、机构捆绑为零。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用政府放权让利的“失”，换企业群众办事的“得”。今年以来，镇江已办理存量房（二手房）“带押过户”业务</w:t>
      </w:r>
      <w:r>
        <w:t>204</w:t>
      </w:r>
      <w:r>
        <w:t>笔，同时推出并办理</w:t>
      </w:r>
      <w:r>
        <w:t>“</w:t>
      </w:r>
      <w:r>
        <w:t>延期续贷</w:t>
      </w:r>
      <w:r>
        <w:t>”</w:t>
      </w:r>
      <w:r>
        <w:t>服务</w:t>
      </w:r>
      <w:r>
        <w:t>170</w:t>
      </w:r>
      <w:r>
        <w:t>余宗；镇江新区还试点办理了</w:t>
      </w:r>
      <w:r>
        <w:t>“</w:t>
      </w:r>
      <w:r>
        <w:t>带押过户</w:t>
      </w:r>
      <w:r>
        <w:t>”</w:t>
      </w:r>
      <w:r>
        <w:t>企业业务</w:t>
      </w:r>
      <w:r>
        <w:t>2</w:t>
      </w:r>
      <w:r>
        <w:t>宗，进一步降低企业和个体工商户的还贷压力，支持实体经济复苏。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一连串改革创新动作，激发了市场活力。今年，市交通运输综合行政执法支队在镇江小型船舶检验及其监督管理中，对小于</w:t>
      </w:r>
      <w:r>
        <w:t>450</w:t>
      </w:r>
      <w:r>
        <w:t>总吨的一般类型船舶试点开展</w:t>
      </w:r>
      <w:r>
        <w:t>“</w:t>
      </w:r>
      <w:r>
        <w:t>信用承诺替代检验</w:t>
      </w:r>
      <w:r>
        <w:t>”</w:t>
      </w:r>
      <w:r>
        <w:t>。在船舶设计、建造、检验、营运、监管全生命周期管理中，通过收集船舶安全与环保技术状况保持情况，依据船舶经营者、所有者的信用，对其营运检验分为</w:t>
      </w:r>
      <w:r>
        <w:t>A</w:t>
      </w:r>
      <w:r>
        <w:t>、</w:t>
      </w:r>
      <w:r>
        <w:t>B</w:t>
      </w:r>
      <w:r>
        <w:t>、</w:t>
      </w:r>
      <w:r>
        <w:t>C</w:t>
      </w:r>
      <w:r>
        <w:t>三类进行管理。截至目前，已开展免检和替代检验</w:t>
      </w:r>
      <w:r>
        <w:t>65</w:t>
      </w:r>
      <w:r>
        <w:t>次，初步测算将节约社会成本</w:t>
      </w:r>
      <w:r>
        <w:t>70</w:t>
      </w:r>
      <w:r>
        <w:t>万元以上。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“多跨协同”赋能更强劲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优化营商环境作为系统工程，涉及多领域、多部门，需十指协同配合，才能奏响“镇合意”交响曲。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“从此次上榜的案例来看，提升优化营商环境的举措更注重跨部门、跨层级、跨领域的系统性创新变革。”谈沁磊说，营商环境改革正从过去的某个部门、某个领域的“单兵作战”，向系统集成、全面推进的“组团作战”转变，并且释放出改革的“乘法效应”，动能也更强劲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市税务局结合新能源产业供应链特点，积极探索跨区域专业税费服务新模式。今年</w:t>
      </w:r>
      <w:r>
        <w:t>4</w:t>
      </w:r>
      <w:r>
        <w:t>月中旬，镇江与安徽省铜陵市、内蒙古自治区包头市、山东省淄博市、福建省宁德市、四川省乐山市税务部门，正式组建成立全国</w:t>
      </w:r>
      <w:r>
        <w:t>“</w:t>
      </w:r>
      <w:r>
        <w:t>六省六市</w:t>
      </w:r>
      <w:r>
        <w:t>‘6+</w:t>
      </w:r>
      <w:r>
        <w:t>新链新</w:t>
      </w:r>
      <w:r>
        <w:t>’</w:t>
      </w:r>
      <w:r>
        <w:t>助力新能源企业打通上下游供应链联盟</w:t>
      </w:r>
      <w:r>
        <w:t>”</w:t>
      </w:r>
      <w:r>
        <w:t>。</w:t>
      </w:r>
      <w:r>
        <w:t>“</w:t>
      </w:r>
      <w:r>
        <w:t>在持续完善</w:t>
      </w:r>
      <w:r>
        <w:t>‘</w:t>
      </w:r>
      <w:r>
        <w:t>走访询问需求、筛选匹配数据、全程跟踪服务</w:t>
      </w:r>
      <w:r>
        <w:t>’</w:t>
      </w:r>
      <w:r>
        <w:t>的闭环式服务机制基础上，我们还围绕新能源产业链开展跨区域税收经济分析，组建跨区域联合分析团队，深入开展新能源产业调研，形成产业链成长性分析报告。</w:t>
      </w:r>
      <w:r>
        <w:t>”</w:t>
      </w:r>
      <w:r>
        <w:t>市税务局相关负责人介绍，后期他们将通过定期召开联席会议、大数</w:t>
      </w:r>
      <w:r>
        <w:rPr>
          <w:rFonts w:hint="eastAsia"/>
        </w:rPr>
        <w:t>据依法依规共享、线下服务等方式，助力区域内新能源企业获取更多上下游产业链信息资源，促进企业健康快速发展。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在涉及多跨协同的复杂改革中，数字赋能是破解难题的有效手段。随着“口岸智慧监管平台”的建立，企业便捷通关降本增效，也为数字赋能营商环境提供了示范。这一平台开通了“进口直提”“出口直装”“边运抵边装运”“区外存放”“监管区外查验”“不到场查验”</w:t>
      </w:r>
      <w:r>
        <w:t>6</w:t>
      </w:r>
      <w:r>
        <w:t>项申报功能，同步嵌入海关监管和港口作业状态查询功能，开通</w:t>
      </w:r>
      <w:r>
        <w:t>24</w:t>
      </w:r>
      <w:r>
        <w:t>小时全时段申报通道，企业可随时报送，查验机构第一时间审核，申报流程更高效。</w:t>
      </w:r>
      <w:r>
        <w:t>2022</w:t>
      </w:r>
      <w:r>
        <w:t>年</w:t>
      </w:r>
      <w:r>
        <w:t>8</w:t>
      </w:r>
      <w:r>
        <w:t>月上线以来，累计开展线上业务申请</w:t>
      </w:r>
      <w:r>
        <w:t>404</w:t>
      </w:r>
      <w:r>
        <w:t>票，涉及进出口货物</w:t>
      </w:r>
      <w:r>
        <w:t>253.27</w:t>
      </w:r>
      <w:r>
        <w:t>万吨，为企业节省装卸堆存费用</w:t>
      </w:r>
      <w:r>
        <w:t>3500</w:t>
      </w:r>
      <w:r>
        <w:t>万元以上。</w:t>
      </w:r>
    </w:p>
    <w:p w:rsidR="002B1D3D" w:rsidRDefault="002B1D3D" w:rsidP="002B1D3D">
      <w:pPr>
        <w:ind w:firstLineChars="200" w:firstLine="420"/>
      </w:pPr>
      <w:r>
        <w:rPr>
          <w:rFonts w:hint="eastAsia"/>
        </w:rPr>
        <w:t>“做‘加法’增强要素保障，做‘减法’精简流程环节，做‘乘法’突出改革赋能，做‘除法’解决顽瘴痼疾。”谈沁磊介绍，今年“镇合意”优化营商环境服务品牌已升级至</w:t>
      </w:r>
      <w:r>
        <w:t>3.0</w:t>
      </w:r>
      <w:r>
        <w:t>版，并且镇江连续第三年针对优化营商环境制订年度工作计划，较此前的方案更强调在创新改革、满意度提升、典型示范等方面发力，</w:t>
      </w:r>
      <w:r>
        <w:t>“</w:t>
      </w:r>
      <w:r>
        <w:t>在营商环境优化提升这条赛道上，我们将从扎实的改革实践中调动各方积极性，探索出更多创新、示范案例，跑出加速度。</w:t>
      </w:r>
      <w:r>
        <w:t>”</w:t>
      </w:r>
    </w:p>
    <w:p w:rsidR="002B1D3D" w:rsidRDefault="002B1D3D" w:rsidP="00711E29">
      <w:pPr>
        <w:jc w:val="right"/>
      </w:pPr>
      <w:r w:rsidRPr="00711E29">
        <w:rPr>
          <w:rFonts w:hint="eastAsia"/>
        </w:rPr>
        <w:t>中国江苏网</w:t>
      </w:r>
      <w:r>
        <w:rPr>
          <w:rFonts w:hint="eastAsia"/>
        </w:rPr>
        <w:t>2023-8-3</w:t>
      </w:r>
    </w:p>
    <w:p w:rsidR="002B1D3D" w:rsidRDefault="002B1D3D" w:rsidP="0081171C">
      <w:pPr>
        <w:sectPr w:rsidR="002B1D3D" w:rsidSect="008117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C0AA0" w:rsidRDefault="00DC0AA0"/>
    <w:sectPr w:rsidR="00DC0A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1D3D"/>
    <w:rsid w:val="002B1D3D"/>
    <w:rsid w:val="00DC0A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1D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1D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2228</Characters>
  <Application>Microsoft Office Word</Application>
  <DocSecurity>0</DocSecurity>
  <Lines>18</Lines>
  <Paragraphs>5</Paragraphs>
  <ScaleCrop>false</ScaleCrop>
  <Company>Microsoft</Company>
  <LinksUpToDate>false</LinksUpToDate>
  <CharactersWithSpaces>2613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2023-08-08T01:15:00Z</dcterms:created>
</cp:coreProperties>
</file>