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76A" w:rsidRPr="00CB5192" w:rsidRDefault="00C2676A" w:rsidP="00CB5192">
      <w:pPr>
        <w:pStyle w:val="1"/>
        <w:spacing w:line="245" w:lineRule="auto"/>
      </w:pPr>
      <w:r w:rsidRPr="00CB5192">
        <w:rPr>
          <w:rFonts w:hint="eastAsia"/>
        </w:rPr>
        <w:t>嘉兴市人民政府关于支持科技创新九条政策意见</w:t>
      </w:r>
    </w:p>
    <w:p w:rsidR="00C2676A" w:rsidRDefault="00C2676A" w:rsidP="00C2676A">
      <w:pPr>
        <w:spacing w:line="245" w:lineRule="auto"/>
        <w:ind w:firstLineChars="200" w:firstLine="420"/>
        <w:jc w:val="left"/>
      </w:pPr>
      <w:r>
        <w:rPr>
          <w:rFonts w:hint="eastAsia"/>
        </w:rPr>
        <w:t>各县（市、区）人民政府，市政府各部门、直属各单位：</w:t>
      </w:r>
    </w:p>
    <w:p w:rsidR="00C2676A" w:rsidRDefault="00C2676A" w:rsidP="00C2676A">
      <w:pPr>
        <w:spacing w:line="245" w:lineRule="auto"/>
        <w:ind w:firstLineChars="200" w:firstLine="420"/>
        <w:jc w:val="left"/>
      </w:pPr>
      <w:r>
        <w:rPr>
          <w:rFonts w:hint="eastAsia"/>
        </w:rPr>
        <w:t>为深入贯彻党的二十大精神，全面落实省第十五次党代会和全省科技创新大会精神，坚持科技是第一生产力、人才是第一资源、创新是第一动力，发挥科技创新“幂数效应”</w:t>
      </w:r>
      <w:r>
        <w:t>,</w:t>
      </w:r>
      <w:r>
        <w:t>加快打造长三角有影响力的科技创新中心，经市政府同意，特制定以下政策意见。</w:t>
      </w:r>
    </w:p>
    <w:p w:rsidR="00C2676A" w:rsidRDefault="00C2676A" w:rsidP="00C2676A">
      <w:pPr>
        <w:spacing w:line="245" w:lineRule="auto"/>
        <w:ind w:firstLineChars="200" w:firstLine="420"/>
        <w:jc w:val="left"/>
      </w:pPr>
      <w:r>
        <w:rPr>
          <w:rFonts w:hint="eastAsia"/>
        </w:rPr>
        <w:t>一、激励企业加大研发投入。对符合加计扣除政策的企业，其研发费用达到</w:t>
      </w:r>
      <w:r>
        <w:t>100</w:t>
      </w:r>
      <w:r>
        <w:t>万元以上且增幅达到</w:t>
      </w:r>
      <w:r>
        <w:t>15%</w:t>
      </w:r>
      <w:r>
        <w:t>以上的，按研发费用增量部分的</w:t>
      </w:r>
      <w:r>
        <w:t>10%</w:t>
      </w:r>
      <w:r>
        <w:t>给予补助，每家企业最高不超过</w:t>
      </w:r>
      <w:r>
        <w:t>500</w:t>
      </w:r>
      <w:r>
        <w:t>万元，其中规上企业研发费用占营业收入比重须达到</w:t>
      </w:r>
      <w:r>
        <w:t>3%</w:t>
      </w:r>
      <w:r>
        <w:t>以上（含），高新技术企业研发费用占营业收入比重须达到</w:t>
      </w:r>
      <w:r>
        <w:t>4%</w:t>
      </w:r>
      <w:r>
        <w:t>以上（含）。</w:t>
      </w:r>
    </w:p>
    <w:p w:rsidR="00C2676A" w:rsidRDefault="00C2676A" w:rsidP="00C2676A">
      <w:pPr>
        <w:spacing w:line="245" w:lineRule="auto"/>
        <w:ind w:firstLineChars="200" w:firstLine="420"/>
        <w:jc w:val="left"/>
      </w:pPr>
      <w:r>
        <w:rPr>
          <w:rFonts w:hint="eastAsia"/>
        </w:rPr>
        <w:t>二、加强科技企业培育支持力度。对首次通过认定的高新技术企业、技术先进型服务企业，给予每家</w:t>
      </w:r>
      <w:r>
        <w:t>20</w:t>
      </w:r>
      <w:r>
        <w:t>万元奖励。对新认定的省科技领军企业、省科技</w:t>
      </w:r>
      <w:r>
        <w:t>“</w:t>
      </w:r>
      <w:r>
        <w:t>小巨人</w:t>
      </w:r>
      <w:r>
        <w:t>”</w:t>
      </w:r>
      <w:r>
        <w:t>企业，分别给予</w:t>
      </w:r>
      <w:r>
        <w:t>100</w:t>
      </w:r>
      <w:r>
        <w:t>万元、</w:t>
      </w:r>
      <w:r>
        <w:t>50</w:t>
      </w:r>
      <w:r>
        <w:t>万元奖励。</w:t>
      </w:r>
    </w:p>
    <w:p w:rsidR="00C2676A" w:rsidRDefault="00C2676A" w:rsidP="00C2676A">
      <w:pPr>
        <w:spacing w:line="245" w:lineRule="auto"/>
        <w:ind w:firstLineChars="200" w:firstLine="420"/>
        <w:jc w:val="left"/>
      </w:pPr>
      <w:r>
        <w:rPr>
          <w:rFonts w:hint="eastAsia"/>
        </w:rPr>
        <w:t>三、加强基础应用研究机构建设。大力支持基础研究，对新建的全国重点实验室分中心（分室），给予每家</w:t>
      </w:r>
      <w:r>
        <w:t>300</w:t>
      </w:r>
      <w:r>
        <w:t>万元奖励。对新认定的省重点实验室给予</w:t>
      </w:r>
      <w:r>
        <w:t>200</w:t>
      </w:r>
      <w:r>
        <w:t>万元奖励，建设期满后绩效评价优秀的，在省财政奖励基础上，给予</w:t>
      </w:r>
      <w:r>
        <w:t>1:1</w:t>
      </w:r>
      <w:r>
        <w:t>配套支持。对市级重点实验室（</w:t>
      </w:r>
      <w:r>
        <w:t>A</w:t>
      </w:r>
      <w:r>
        <w:t>类）绩效评价优秀的，给予每家最高</w:t>
      </w:r>
      <w:r>
        <w:t>60</w:t>
      </w:r>
      <w:r>
        <w:t>万元奖励。对新认定的省级重点企业研究院（含农业）、省级企业研究院，分别给予</w:t>
      </w:r>
      <w:r>
        <w:t>300</w:t>
      </w:r>
      <w:r>
        <w:t>万元、</w:t>
      </w:r>
      <w:r>
        <w:t>100</w:t>
      </w:r>
      <w:r>
        <w:t>万元奖励。</w:t>
      </w:r>
    </w:p>
    <w:p w:rsidR="00C2676A" w:rsidRDefault="00C2676A" w:rsidP="00C2676A">
      <w:pPr>
        <w:spacing w:line="245" w:lineRule="auto"/>
        <w:ind w:firstLineChars="200" w:firstLine="420"/>
        <w:jc w:val="left"/>
      </w:pPr>
      <w:r>
        <w:rPr>
          <w:rFonts w:hint="eastAsia"/>
        </w:rPr>
        <w:t>四、加强关键核心技术攻关。部署实施市级科技项目，单个项目最高给予</w:t>
      </w:r>
      <w:r>
        <w:t>100</w:t>
      </w:r>
      <w:r>
        <w:t>万元经费支持。对牵头承担国家重点研发计划的单位，给予每家</w:t>
      </w:r>
      <w:r>
        <w:t>100</w:t>
      </w:r>
      <w:r>
        <w:t>万元奖励。大力推行</w:t>
      </w:r>
      <w:r>
        <w:t>“</w:t>
      </w:r>
      <w:r>
        <w:t>揭榜挂帅</w:t>
      </w:r>
      <w:r>
        <w:t>”</w:t>
      </w:r>
      <w:r>
        <w:t>攻关模式，对关键技术需求企业按照项目实际发生技术合同成交额的</w:t>
      </w:r>
      <w:r>
        <w:t>25%</w:t>
      </w:r>
      <w:r>
        <w:t>给予后补助支持，最高不超过</w:t>
      </w:r>
      <w:r>
        <w:t>300</w:t>
      </w:r>
      <w:r>
        <w:t>万元。</w:t>
      </w:r>
    </w:p>
    <w:p w:rsidR="00C2676A" w:rsidRDefault="00C2676A" w:rsidP="00C2676A">
      <w:pPr>
        <w:spacing w:line="245" w:lineRule="auto"/>
        <w:ind w:firstLineChars="200" w:firstLine="420"/>
        <w:jc w:val="left"/>
      </w:pPr>
      <w:r>
        <w:rPr>
          <w:rFonts w:hint="eastAsia"/>
        </w:rPr>
        <w:t>五、推动科技成果转移转化。对科技中介服务机构、技术经纪（经理）人促成的技术开发或技术转让项目，项目完成并通过评审后，分别按实际支付技术合同金额的</w:t>
      </w:r>
      <w:r>
        <w:t>3%</w:t>
      </w:r>
      <w:r>
        <w:t>和</w:t>
      </w:r>
      <w:r>
        <w:t>1.5%</w:t>
      </w:r>
      <w:r>
        <w:t>给予奖励，单个项目最高分别不超过</w:t>
      </w:r>
      <w:r>
        <w:t>10</w:t>
      </w:r>
      <w:r>
        <w:t>万元和</w:t>
      </w:r>
      <w:r>
        <w:t>3</w:t>
      </w:r>
      <w:r>
        <w:t>万元，每家每年累计不超过</w:t>
      </w:r>
      <w:r>
        <w:t>100</w:t>
      </w:r>
      <w:r>
        <w:t>万元，每人每年累计不超过</w:t>
      </w:r>
      <w:r>
        <w:t>20</w:t>
      </w:r>
      <w:r>
        <w:t>万元。支持嘉兴科技大市场建设，推动科技成果转化应用。对参加省级及以上科技部门主办的创新创业大赛获奖的企业，每家给予最高不超过</w:t>
      </w:r>
      <w:r>
        <w:t>50</w:t>
      </w:r>
      <w:r>
        <w:t>万元奖励。</w:t>
      </w:r>
    </w:p>
    <w:p w:rsidR="00C2676A" w:rsidRDefault="00C2676A" w:rsidP="00C2676A">
      <w:pPr>
        <w:spacing w:line="245" w:lineRule="auto"/>
        <w:ind w:firstLineChars="200" w:firstLine="420"/>
        <w:jc w:val="left"/>
      </w:pPr>
      <w:r>
        <w:rPr>
          <w:rFonts w:hint="eastAsia"/>
        </w:rPr>
        <w:t>六、加大科技成果奖励力度。对以第一项目完成单位获得国家最高科学技术奖、国家科学技术奖（包括国家自然科学奖、国家技术发明奖、国家科学技术进步奖）特等奖、一等奖、二等奖的，分别给予</w:t>
      </w:r>
      <w:r>
        <w:t>800</w:t>
      </w:r>
      <w:r>
        <w:t>万元、</w:t>
      </w:r>
      <w:r>
        <w:t>500</w:t>
      </w:r>
      <w:r>
        <w:t>万元、</w:t>
      </w:r>
      <w:r>
        <w:t>300</w:t>
      </w:r>
      <w:r>
        <w:t>万元、</w:t>
      </w:r>
      <w:r>
        <w:t>200</w:t>
      </w:r>
      <w:r>
        <w:t>万元奖励。对以第一项目完成单位获得省科技大奖、省科学技术奖（包括省自然科学奖、省技术发明奖、省科学技术进步奖）一等奖、二等奖、三等奖的，分别给予</w:t>
      </w:r>
      <w:r>
        <w:t>300</w:t>
      </w:r>
      <w:r>
        <w:t>万元、</w:t>
      </w:r>
      <w:r>
        <w:t>100</w:t>
      </w:r>
      <w:r>
        <w:t>万元、</w:t>
      </w:r>
      <w:r>
        <w:t>60</w:t>
      </w:r>
      <w:r>
        <w:t>万元、</w:t>
      </w:r>
      <w:r>
        <w:t>20</w:t>
      </w:r>
      <w:r>
        <w:t>万元奖励。</w:t>
      </w:r>
    </w:p>
    <w:p w:rsidR="00C2676A" w:rsidRDefault="00C2676A" w:rsidP="00C2676A">
      <w:pPr>
        <w:spacing w:line="245" w:lineRule="auto"/>
        <w:ind w:firstLineChars="200" w:firstLine="420"/>
        <w:jc w:val="left"/>
      </w:pPr>
      <w:r>
        <w:rPr>
          <w:rFonts w:hint="eastAsia"/>
        </w:rPr>
        <w:t>七、推动融入全球创新网络。对新认定的国家级、省级国际科技合作基地，分别给予</w:t>
      </w:r>
      <w:r>
        <w:t>100</w:t>
      </w:r>
      <w:r>
        <w:t>万元、</w:t>
      </w:r>
      <w:r>
        <w:t>20</w:t>
      </w:r>
      <w:r>
        <w:t>万元奖励。对新认定的省级外资研发中心、省级企业海外研发机构、国际联合实验室、省海外创新孵化中心，分别给予</w:t>
      </w:r>
      <w:r>
        <w:t>150</w:t>
      </w:r>
      <w:r>
        <w:t>万元、</w:t>
      </w:r>
      <w:r>
        <w:t>100</w:t>
      </w:r>
      <w:r>
        <w:t>万元、</w:t>
      </w:r>
      <w:r>
        <w:t>80</w:t>
      </w:r>
      <w:r>
        <w:t>万元、</w:t>
      </w:r>
      <w:r>
        <w:t>50</w:t>
      </w:r>
      <w:r>
        <w:t>万元奖励。</w:t>
      </w:r>
    </w:p>
    <w:p w:rsidR="00C2676A" w:rsidRDefault="00C2676A" w:rsidP="00C2676A">
      <w:pPr>
        <w:spacing w:line="245" w:lineRule="auto"/>
        <w:ind w:firstLineChars="200" w:firstLine="420"/>
        <w:jc w:val="left"/>
      </w:pPr>
      <w:r>
        <w:rPr>
          <w:rFonts w:hint="eastAsia"/>
        </w:rPr>
        <w:t>八、提升创新孵化载体质效。对新认定的国家级、省级综合型科技企业孵化器，分别给予</w:t>
      </w:r>
      <w:r>
        <w:t>100</w:t>
      </w:r>
      <w:r>
        <w:t>万元、</w:t>
      </w:r>
      <w:r>
        <w:t>50</w:t>
      </w:r>
      <w:r>
        <w:t>万元奖励。对新认定的国家级、省级专业型科技企业孵化器，分别给予</w:t>
      </w:r>
      <w:r>
        <w:t>120</w:t>
      </w:r>
      <w:r>
        <w:t>万元、</w:t>
      </w:r>
      <w:r>
        <w:t>60</w:t>
      </w:r>
      <w:r>
        <w:t>万元奖励。对新认定的市级科技企业孵化器，给予</w:t>
      </w:r>
      <w:r>
        <w:t>30</w:t>
      </w:r>
      <w:r>
        <w:t>万元奖励。对国家级、省级、市级科技企业孵化器绩效评价优秀的，给予最高不超过</w:t>
      </w:r>
      <w:r>
        <w:t>50</w:t>
      </w:r>
      <w:r>
        <w:t>万元补助。对国家级、省级、市级众创空间绩效评价优秀的，分别给予</w:t>
      </w:r>
      <w:r>
        <w:t>30</w:t>
      </w:r>
      <w:r>
        <w:t>万元、</w:t>
      </w:r>
      <w:r>
        <w:t>20</w:t>
      </w:r>
      <w:r>
        <w:t>万元、</w:t>
      </w:r>
      <w:r>
        <w:t>10</w:t>
      </w:r>
      <w:r>
        <w:t>万元补助。对符合条件的科技企业孵化器、众创空间和经市科技局备案的重点青年创业平台，给予三年支持周期，对符合条件的单个入驻项目，给</w:t>
      </w:r>
      <w:r>
        <w:rPr>
          <w:rFonts w:hint="eastAsia"/>
        </w:rPr>
        <w:t>予最高不超过</w:t>
      </w:r>
      <w:r>
        <w:t>6</w:t>
      </w:r>
      <w:r>
        <w:t>万元的一次性落地奖励，并择优给予最高</w:t>
      </w:r>
      <w:r>
        <w:t>20</w:t>
      </w:r>
      <w:r>
        <w:t>万元创业资助。</w:t>
      </w:r>
    </w:p>
    <w:p w:rsidR="00C2676A" w:rsidRDefault="00C2676A" w:rsidP="00C2676A">
      <w:pPr>
        <w:spacing w:line="245" w:lineRule="auto"/>
        <w:ind w:firstLineChars="200" w:firstLine="420"/>
        <w:jc w:val="left"/>
      </w:pPr>
      <w:r>
        <w:rPr>
          <w:rFonts w:hint="eastAsia"/>
        </w:rPr>
        <w:t>九、强化科技资源共享服务。对在省大型仪器设备共享平台仪器共享率达到</w:t>
      </w:r>
      <w:r>
        <w:t>80%</w:t>
      </w:r>
      <w:r>
        <w:t>以上的单位，按照其创新券兑付金额的</w:t>
      </w:r>
      <w:r>
        <w:t>10%</w:t>
      </w:r>
      <w:r>
        <w:t>给予奖励，每家每年累计不超过</w:t>
      </w:r>
      <w:r>
        <w:t>30</w:t>
      </w:r>
      <w:r>
        <w:t>万元。支持企业开展技术研发，对符合条件的企业，每年每家给予最高</w:t>
      </w:r>
      <w:r>
        <w:t>20</w:t>
      </w:r>
      <w:r>
        <w:t>万元创新券额度。</w:t>
      </w:r>
    </w:p>
    <w:p w:rsidR="00C2676A" w:rsidRDefault="00C2676A" w:rsidP="00C2676A">
      <w:pPr>
        <w:spacing w:line="245" w:lineRule="auto"/>
        <w:ind w:firstLineChars="200" w:firstLine="420"/>
        <w:jc w:val="left"/>
      </w:pPr>
      <w:r>
        <w:rPr>
          <w:rFonts w:hint="eastAsia"/>
        </w:rPr>
        <w:t>本政策意见涉及的财政补助，按照市、区两级财政各承担</w:t>
      </w:r>
      <w:r>
        <w:t>50%</w:t>
      </w:r>
      <w:r>
        <w:t>的原则执行，对同一事项涉及多项奖励（补助）的，按</w:t>
      </w:r>
      <w:r>
        <w:t>“</w:t>
      </w:r>
      <w:r>
        <w:t>就高不重复</w:t>
      </w:r>
      <w:r>
        <w:t>”</w:t>
      </w:r>
      <w:r>
        <w:t>原则执行。已有政策与本政策意见不一致的，以本政策意见为准，原有政策不再继续执行。</w:t>
      </w:r>
    </w:p>
    <w:p w:rsidR="00C2676A" w:rsidRDefault="00C2676A" w:rsidP="00C2676A">
      <w:pPr>
        <w:spacing w:line="245" w:lineRule="auto"/>
        <w:ind w:firstLineChars="200" w:firstLine="420"/>
        <w:jc w:val="left"/>
      </w:pPr>
      <w:r>
        <w:rPr>
          <w:rFonts w:hint="eastAsia"/>
        </w:rPr>
        <w:t>本政策意见自</w:t>
      </w:r>
      <w:r>
        <w:t>2023</w:t>
      </w:r>
      <w:r>
        <w:t>年</w:t>
      </w:r>
      <w:r>
        <w:t>8</w:t>
      </w:r>
      <w:r>
        <w:t>月</w:t>
      </w:r>
      <w:r>
        <w:t>1</w:t>
      </w:r>
      <w:r>
        <w:t>日起开始实施，除已有明确期限规定外，有效期截至</w:t>
      </w:r>
      <w:r>
        <w:t>2025</w:t>
      </w:r>
      <w:r>
        <w:t>年</w:t>
      </w:r>
      <w:r>
        <w:t>12</w:t>
      </w:r>
      <w:r>
        <w:t>月</w:t>
      </w:r>
      <w:r>
        <w:t>31</w:t>
      </w:r>
      <w:r>
        <w:t>日。</w:t>
      </w:r>
    </w:p>
    <w:p w:rsidR="00C2676A" w:rsidRDefault="00C2676A" w:rsidP="00C2676A">
      <w:pPr>
        <w:spacing w:line="245" w:lineRule="auto"/>
        <w:ind w:firstLineChars="200" w:firstLine="420"/>
        <w:jc w:val="right"/>
      </w:pPr>
      <w:r>
        <w:rPr>
          <w:rFonts w:hint="eastAsia"/>
        </w:rPr>
        <w:t>嘉兴市人民政府</w:t>
      </w:r>
      <w:r>
        <w:t>2023-07-</w:t>
      </w:r>
      <w:r>
        <w:rPr>
          <w:rFonts w:hint="eastAsia"/>
        </w:rPr>
        <w:t>24</w:t>
      </w:r>
    </w:p>
    <w:p w:rsidR="00C2676A" w:rsidRDefault="00C2676A" w:rsidP="00DB5C25">
      <w:pPr>
        <w:sectPr w:rsidR="00C2676A" w:rsidSect="00DB5C2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631C2" w:rsidRDefault="00A631C2"/>
    <w:sectPr w:rsidR="00A631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2676A"/>
    <w:rsid w:val="00A631C2"/>
    <w:rsid w:val="00C267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2676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C2676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1551</Characters>
  <Application>Microsoft Office Word</Application>
  <DocSecurity>0</DocSecurity>
  <Lines>12</Lines>
  <Paragraphs>3</Paragraphs>
  <ScaleCrop>false</ScaleCrop>
  <Company>Microsoft</Company>
  <LinksUpToDate>false</LinksUpToDate>
  <CharactersWithSpaces>1820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2023-08-15T07:30:00Z</dcterms:created>
</cp:coreProperties>
</file>