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DEC" w:rsidRDefault="00565DEC" w:rsidP="00A80396">
      <w:pPr>
        <w:pStyle w:val="1"/>
      </w:pPr>
      <w:r w:rsidRPr="00A80396">
        <w:rPr>
          <w:rFonts w:hint="eastAsia"/>
        </w:rPr>
        <w:t>新网银行服务实体稳健向前，积极探索普惠金融绿色金融融合发展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近年来，中国人民银行充分发挥结构性货币政策工具的总量和结构双重功能，切实支持“三农”、小微和民营企业发展，服务普惠金融长效机制建设。新网银行贯彻落实国家政策部署，运用科技手段践行普惠金融理念，同时，新网银行积极创新绿色与普惠金融协同发展，为推动经济绿色、平等、高质量发展贡献力量。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引金融“活水”壮实体“根基”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新网银行作为新一代数字原生银行，自成立以来积极利用数字技术发展普惠金融，通过“好人贷”“好商贷”“好企</w:t>
      </w:r>
      <w:r>
        <w:t>e</w:t>
      </w:r>
      <w:r>
        <w:t>贷</w:t>
      </w:r>
      <w:r>
        <w:t>”“</w:t>
      </w:r>
      <w:r>
        <w:t>好车贷</w:t>
      </w:r>
      <w:r>
        <w:t>”</w:t>
      </w:r>
      <w:r>
        <w:t>等数字普惠金融产品，向未充分获得金融服务的客群提供金融</w:t>
      </w:r>
      <w:r>
        <w:t>“</w:t>
      </w:r>
      <w:r>
        <w:t>活水</w:t>
      </w:r>
      <w:r>
        <w:t>”</w:t>
      </w:r>
      <w:r>
        <w:t>，提高大众的金融可获得性。目前，客户数已超过</w:t>
      </w:r>
      <w:r>
        <w:t>7300</w:t>
      </w:r>
      <w:r>
        <w:t>万户，累计放款笔数超过</w:t>
      </w:r>
      <w:r>
        <w:t>2.748</w:t>
      </w:r>
      <w:r>
        <w:t>亿，累计放款金额超过</w:t>
      </w:r>
      <w:r>
        <w:t>9400</w:t>
      </w:r>
      <w:r>
        <w:t>亿元。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数据显示，截至</w:t>
      </w:r>
      <w:r>
        <w:t>2023</w:t>
      </w:r>
      <w:r>
        <w:t>年</w:t>
      </w:r>
      <w:r>
        <w:t>6</w:t>
      </w:r>
      <w:r>
        <w:t>月末，新网银行资产总额</w:t>
      </w:r>
      <w:r>
        <w:t>1007.10</w:t>
      </w:r>
      <w:r>
        <w:t>亿元，同比增长</w:t>
      </w:r>
      <w:r>
        <w:t>35.32%</w:t>
      </w:r>
      <w:r>
        <w:t>。营业收入</w:t>
      </w:r>
      <w:r>
        <w:t>23.50</w:t>
      </w:r>
      <w:r>
        <w:t>亿元，净利润</w:t>
      </w:r>
      <w:r>
        <w:t>4.27</w:t>
      </w:r>
      <w:r>
        <w:t>亿元，营业收入和净利润均同比增长</w:t>
      </w:r>
      <w:r>
        <w:t>40%</w:t>
      </w:r>
      <w:r>
        <w:t>以上，亮眼的成绩，让大家看到了新网银行在良性发展道路上稳健前行。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新网银行还继续紧扣小微金融服务“量增、面扩、质升、价降”目标，实现小微信贷规模较快增长。截至</w:t>
      </w:r>
      <w:r>
        <w:t>2023</w:t>
      </w:r>
      <w:r>
        <w:t>年</w:t>
      </w:r>
      <w:r>
        <w:t>6</w:t>
      </w:r>
      <w:r>
        <w:t>月末，新网银行普惠型小微企业贷款余额</w:t>
      </w:r>
      <w:r>
        <w:t>176.46</w:t>
      </w:r>
      <w:r>
        <w:t>亿元，较年初增速达</w:t>
      </w:r>
      <w:r>
        <w:t>74.33%</w:t>
      </w:r>
      <w:r>
        <w:t>。普惠型小微企业贷款余额户数超</w:t>
      </w:r>
      <w:r>
        <w:t>24</w:t>
      </w:r>
      <w:r>
        <w:t>万户，较年初新增约</w:t>
      </w:r>
      <w:r>
        <w:t>12</w:t>
      </w:r>
      <w:r>
        <w:t>万户，全面完成了</w:t>
      </w:r>
      <w:r>
        <w:t>“</w:t>
      </w:r>
      <w:r>
        <w:t>两增</w:t>
      </w:r>
      <w:r>
        <w:t>”</w:t>
      </w:r>
      <w:r>
        <w:t>指标。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探索普惠金融绿色金融协同发展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作为国内首家实现经营活动全面碳中和的法人银行机构，新网银行凭借数字化运营和全在线服务的优势，在为个人、小微企业客户提供数字普惠金融服务的同时，也大大降低了自身运营和客户获取服务过程中的碳排放。据核算，截至</w:t>
      </w:r>
      <w:r>
        <w:t>2022</w:t>
      </w:r>
      <w:r>
        <w:t>年末，新网银行累计减少纸张消耗</w:t>
      </w:r>
      <w:r>
        <w:t>26.75</w:t>
      </w:r>
      <w:r>
        <w:t>亿张，帮助客户减少出行</w:t>
      </w:r>
      <w:r>
        <w:t>154.46</w:t>
      </w:r>
      <w:r>
        <w:t>亿公里，累计实现碳减排量</w:t>
      </w:r>
      <w:r>
        <w:t>145.81</w:t>
      </w:r>
      <w:r>
        <w:t>万吨。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在成都市地方金融监督管理局指导下，新网银行和世界银行集团国际金融公司携手启动“绿色与普惠金融协同发展项目”成都试点，高盛“巾帼圆梦”予以支持。通过科技创新持续开发银行绿色信贷业务，双方将联合打造绿色小微信贷产品，探索可复制可推广的金融工具和业务模式，促进地方金融行业的能力建设。</w:t>
      </w:r>
    </w:p>
    <w:p w:rsidR="00565DEC" w:rsidRDefault="00565DEC" w:rsidP="00565DEC">
      <w:pPr>
        <w:ind w:firstLineChars="200" w:firstLine="420"/>
      </w:pPr>
      <w:r>
        <w:rPr>
          <w:rFonts w:hint="eastAsia"/>
        </w:rPr>
        <w:t>普惠金融和绿色金融的融合发展，对我国实体经济高质量发展有着重要的推进作用。在未来，新网银行仍将继续承担金融企业责任，深挖绿色、普惠方面的协同能力，致力于开发出更多可持续性的金融产品，为金融业高质量发展注入新动能。</w:t>
      </w:r>
    </w:p>
    <w:p w:rsidR="00565DEC" w:rsidRDefault="00565DEC" w:rsidP="00A80396">
      <w:pPr>
        <w:jc w:val="right"/>
      </w:pPr>
      <w:r w:rsidRPr="00A80396">
        <w:rPr>
          <w:rFonts w:hint="eastAsia"/>
        </w:rPr>
        <w:t>新网银行</w:t>
      </w:r>
      <w:r>
        <w:rPr>
          <w:rFonts w:hint="eastAsia"/>
        </w:rPr>
        <w:t>2023-8-3</w:t>
      </w:r>
    </w:p>
    <w:p w:rsidR="00565DEC" w:rsidRDefault="00565DEC" w:rsidP="0049605B">
      <w:pPr>
        <w:sectPr w:rsidR="00565DEC" w:rsidSect="0049605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4496" w:rsidRDefault="00904496"/>
    <w:sectPr w:rsidR="009044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65DEC"/>
    <w:rsid w:val="00565DEC"/>
    <w:rsid w:val="00904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65D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65D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876</Characters>
  <Application>Microsoft Office Word</Application>
  <DocSecurity>0</DocSecurity>
  <Lines>7</Lines>
  <Paragraphs>2</Paragraphs>
  <ScaleCrop>false</ScaleCrop>
  <Company>Microsoft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2023-08-10T06:19:00Z</dcterms:created>
</cp:coreProperties>
</file>