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B0290E" w:rsidRDefault="00B0290E" w:rsidP="00C80886">
      <w:pPr>
        <w:pStyle w:val="1"/>
      </w:pPr>
      <w:r w:rsidRPr="00C80886">
        <w:rPr>
          <w:rFonts w:hint="eastAsia"/>
        </w:rPr>
        <w:t>唐山市中级人民法院为一流营商环境提供优质司法服务和保障</w:t>
      </w:r>
    </w:p>
    <w:p w:rsidR="00B0290E" w:rsidRDefault="00B0290E" w:rsidP="00B0290E">
      <w:pPr>
        <w:ind w:firstLineChars="200" w:firstLine="420"/>
      </w:pPr>
      <w:r>
        <w:rPr>
          <w:rFonts w:hint="eastAsia"/>
        </w:rPr>
        <w:t>近年来，全市法院深入学习贯彻习近平总书记关于优化营商环境工作重要指示精神，全面贯彻落实中央、省市委有关部署要求，紧紧围绕加快实现“三个努力建成”“三个走在前列”宏伟目标，创新举措、提质增效，为打造市场化、法治化、国际化一流营商环境贡献法院力量。</w:t>
      </w:r>
    </w:p>
    <w:p w:rsidR="00B0290E" w:rsidRDefault="00B0290E" w:rsidP="00B0290E">
      <w:pPr>
        <w:ind w:firstLineChars="200" w:firstLine="420"/>
      </w:pPr>
      <w:r>
        <w:rPr>
          <w:rFonts w:hint="eastAsia"/>
        </w:rPr>
        <w:t>一、丰富便民利民举措，打造诉讼服务“一站式”</w:t>
      </w:r>
    </w:p>
    <w:p w:rsidR="00B0290E" w:rsidRDefault="00B0290E" w:rsidP="00B0290E">
      <w:pPr>
        <w:ind w:firstLineChars="200" w:firstLine="420"/>
      </w:pPr>
      <w:r>
        <w:rPr>
          <w:rFonts w:hint="eastAsia"/>
        </w:rPr>
        <w:t>市法院坚持以“我为群众办实事”为宗旨，在诉讼服务中心推出“四个一”诉讼服务模式，即一家、一室、一员、一驿站。</w:t>
      </w:r>
    </w:p>
    <w:p w:rsidR="00B0290E" w:rsidRDefault="00B0290E" w:rsidP="00B0290E">
      <w:pPr>
        <w:ind w:firstLineChars="200" w:firstLine="420"/>
      </w:pPr>
      <w:r>
        <w:rPr>
          <w:rFonts w:hint="eastAsia"/>
        </w:rPr>
        <w:t>“一家”—</w:t>
      </w:r>
      <w:r>
        <w:t xml:space="preserve"> </w:t>
      </w:r>
      <w:r>
        <w:t>律师之家，配置内外网电脑、传真复印一体机等设备，供律师查阅卷宗和临时办公之用。同时，摆放沙发、衣架、穿衣镜等设施，供律师在开庭前更换律师服及休息。做到</w:t>
      </w:r>
      <w:r>
        <w:t>“</w:t>
      </w:r>
      <w:r>
        <w:t>你工作，我保障</w:t>
      </w:r>
      <w:r>
        <w:t>”</w:t>
      </w:r>
      <w:r>
        <w:t>。</w:t>
      </w:r>
    </w:p>
    <w:p w:rsidR="00B0290E" w:rsidRDefault="00B0290E" w:rsidP="00B0290E">
      <w:pPr>
        <w:ind w:firstLineChars="200" w:firstLine="420"/>
      </w:pPr>
      <w:r>
        <w:rPr>
          <w:rFonts w:hint="eastAsia"/>
        </w:rPr>
        <w:t>“一室”—</w:t>
      </w:r>
      <w:r>
        <w:t xml:space="preserve"> </w:t>
      </w:r>
      <w:r>
        <w:t>母婴休息室，为孕期、哺乳期的女性及儿童等社会中需要特殊照顾的群体提供休息及娱乐的场所。做到</w:t>
      </w:r>
      <w:r>
        <w:t>“</w:t>
      </w:r>
      <w:r>
        <w:t>你办事，我服务</w:t>
      </w:r>
      <w:r>
        <w:t>”</w:t>
      </w:r>
      <w:r>
        <w:t>。</w:t>
      </w:r>
    </w:p>
    <w:p w:rsidR="00B0290E" w:rsidRDefault="00B0290E" w:rsidP="00B0290E">
      <w:pPr>
        <w:ind w:firstLineChars="200" w:firstLine="420"/>
      </w:pPr>
      <w:r>
        <w:rPr>
          <w:rFonts w:hint="eastAsia"/>
        </w:rPr>
        <w:t>“一员”—</w:t>
      </w:r>
      <w:r>
        <w:t xml:space="preserve"> </w:t>
      </w:r>
      <w:r>
        <w:t>法官联络员，负责为来院的当事人提供联系法官、案件查询等服务，引导当事人诉讼。做到</w:t>
      </w:r>
      <w:r>
        <w:t>“</w:t>
      </w:r>
      <w:r>
        <w:t>找法官，我联系</w:t>
      </w:r>
      <w:r>
        <w:t>”</w:t>
      </w:r>
      <w:r>
        <w:t>。</w:t>
      </w:r>
    </w:p>
    <w:p w:rsidR="00B0290E" w:rsidRDefault="00B0290E" w:rsidP="00B0290E">
      <w:pPr>
        <w:ind w:firstLineChars="200" w:firstLine="420"/>
      </w:pPr>
      <w:r>
        <w:rPr>
          <w:rFonts w:hint="eastAsia"/>
        </w:rPr>
        <w:t>“一驿站”—</w:t>
      </w:r>
      <w:r>
        <w:t xml:space="preserve"> </w:t>
      </w:r>
      <w:r>
        <w:t>诉讼心灵驿站，由获得国家心理咨询师资格的干警对有心理咨询需求的当事人，提供心理咨询服务，帮助当事人打开心结，促进纠纷化解。做到</w:t>
      </w:r>
      <w:r>
        <w:t>“</w:t>
      </w:r>
      <w:r>
        <w:t>你困惑，我疏导</w:t>
      </w:r>
      <w:r>
        <w:t>”</w:t>
      </w:r>
      <w:r>
        <w:t>。</w:t>
      </w:r>
    </w:p>
    <w:p w:rsidR="00B0290E" w:rsidRDefault="00B0290E" w:rsidP="00B0290E">
      <w:pPr>
        <w:ind w:firstLineChars="200" w:firstLine="420"/>
      </w:pPr>
      <w:r>
        <w:rPr>
          <w:rFonts w:hint="eastAsia"/>
        </w:rPr>
        <w:t>二、发挥刑事审判职能，强化产权司法保护</w:t>
      </w:r>
    </w:p>
    <w:p w:rsidR="00B0290E" w:rsidRDefault="00B0290E" w:rsidP="00B0290E">
      <w:pPr>
        <w:ind w:firstLineChars="200" w:firstLine="420"/>
      </w:pPr>
      <w:r>
        <w:rPr>
          <w:rFonts w:hint="eastAsia"/>
        </w:rPr>
        <w:t>一是依法打击犯罪，保障合法经营。依法保护民营企业产权和企业家权益，严惩重复侵权、恶意侵权、商标恶意抢注等侵犯企业知识产权、背信损害企业利益以及其他严重扰乱市场秩序的犯罪，依法严厉打击欺行霸市、强迫交易、恶意阻工、敲诈勒索以及插手企业经济纠纷的黑恶势力。</w:t>
      </w:r>
    </w:p>
    <w:p w:rsidR="00B0290E" w:rsidRDefault="00B0290E" w:rsidP="00B0290E">
      <w:pPr>
        <w:ind w:firstLineChars="200" w:firstLine="420"/>
      </w:pPr>
      <w:r>
        <w:rPr>
          <w:rFonts w:hint="eastAsia"/>
        </w:rPr>
        <w:t>二是慎用强制措施，保障生产经营。依法办理涉企业家等刑事案件，对无确实充分证据证明符合犯罪构成的，及时宣告无罪或者建议检察院撤诉，杜绝将行政处理、民事制裁升格为刑事追究。严格查封、扣押、冻结、处理企业涉案财物的审批流程，减少对正常经营活动的影响。</w:t>
      </w:r>
    </w:p>
    <w:p w:rsidR="00B0290E" w:rsidRDefault="00B0290E" w:rsidP="00B0290E">
      <w:pPr>
        <w:ind w:firstLineChars="200" w:firstLine="420"/>
      </w:pPr>
      <w:r>
        <w:rPr>
          <w:rFonts w:hint="eastAsia"/>
        </w:rPr>
        <w:t>三是坚持宽严相济，着力提质增效。畅通涉企案件办理通道，根据犯罪性质和具体情况，做到该宽则宽、当严则严、宽严相济、罚当其罪，用最低刑罚成本争取最好治理效果。对有自首、立功表现，认罪态度好，没有社会危险性的民营企业经营者，可以依法从宽。深入推进刑事案件繁简分流，从程序上加快案件办理进度，提高案件办理效率，杜绝涉企案件久拖不决，最大限度保障企业合法经营。</w:t>
      </w:r>
    </w:p>
    <w:p w:rsidR="00B0290E" w:rsidRDefault="00B0290E" w:rsidP="00B0290E">
      <w:pPr>
        <w:ind w:firstLineChars="200" w:firstLine="420"/>
      </w:pPr>
      <w:r>
        <w:rPr>
          <w:rFonts w:hint="eastAsia"/>
        </w:rPr>
        <w:t>四是加快财产处置，严格规范执行。对移送的刑事案件执行，充分考虑保护企业发展需要，禁止超标的、超范围查封、扣押、冻结涉案财物，最大限度减少司法活动对涉案民营企业正常生产经营活动的不利影响。严格区分企业家违法所得和合法财产，没有充分证据证明为违法所得的，不判决追缴或者责令退赔。严格区分企业家个人财产和企业法人财产。</w:t>
      </w:r>
    </w:p>
    <w:p w:rsidR="00B0290E" w:rsidRDefault="00B0290E" w:rsidP="00B0290E">
      <w:pPr>
        <w:ind w:firstLineChars="200" w:firstLine="420"/>
      </w:pPr>
      <w:r>
        <w:rPr>
          <w:rFonts w:hint="eastAsia"/>
        </w:rPr>
        <w:t>三、加强知识产权保护，服务创新驱动发展</w:t>
      </w:r>
    </w:p>
    <w:p w:rsidR="00B0290E" w:rsidRDefault="00B0290E" w:rsidP="00B0290E">
      <w:pPr>
        <w:ind w:firstLineChars="200" w:firstLine="420"/>
      </w:pPr>
      <w:r>
        <w:rPr>
          <w:rFonts w:hint="eastAsia"/>
        </w:rPr>
        <w:t>在知识产权案件繁简分流方面，市中院印发《关于适用小额诉讼程序审理知识产权纠纷案件的工作规程（试行）》，高新区法院制定《关于知识产权案件繁简分流工作流程的规定》，利用冀时调平台，在立案阶段对</w:t>
      </w:r>
      <w:r>
        <w:t>440</w:t>
      </w:r>
      <w:r>
        <w:t>件知识产权案件进行诉前调解分流，调解成功案件</w:t>
      </w:r>
      <w:r>
        <w:t>110</w:t>
      </w:r>
      <w:r>
        <w:t>件，且均已实际履行。</w:t>
      </w:r>
    </w:p>
    <w:p w:rsidR="00B0290E" w:rsidRDefault="00B0290E" w:rsidP="00B0290E">
      <w:pPr>
        <w:ind w:firstLineChars="200" w:firstLine="420"/>
      </w:pPr>
      <w:r>
        <w:rPr>
          <w:rFonts w:hint="eastAsia"/>
        </w:rPr>
        <w:t>在知识产权纠纷多元化解方面，市中院出台《关于知识产权纠纷调解协议司法确认的操作规程（试行）》，并及时对唐山某制造有限公司与唐山某有限责任公司侵害外观设计专利权纠纷经唐山市知识产权局主持调解达成的调解协议作出司法确认。在中院审理的景德镇陶瓷协会诉唐山市路北区茶店、食品店等系列案件中，市中院与河北省知识产权保护中心联合进行调解，成功调解</w:t>
      </w:r>
      <w:r>
        <w:t>10</w:t>
      </w:r>
      <w:r>
        <w:t>件。河北省知识产权保护中心与市中院、高新区法院分别签署《关于推进知识产权衔接司法保护工作的合作框架协议》，发挥知识产权衔接司法保护工作作用、不断完善知识产权纠纷多元化解机制。</w:t>
      </w:r>
    </w:p>
    <w:p w:rsidR="00B0290E" w:rsidRDefault="00B0290E" w:rsidP="00B0290E">
      <w:pPr>
        <w:ind w:firstLineChars="200" w:firstLine="420"/>
      </w:pPr>
      <w:r>
        <w:rPr>
          <w:rFonts w:hint="eastAsia"/>
        </w:rPr>
        <w:t>在知识产权协同保护方面，市中院与唐山市市场监督管理局共同签署《加强知识产权保护战略合作框架协议》，并召开知识产权保护战略合作联席会议，就落实《加强知识产权保护战略合作框架协议》，健全协同保护工作机制、信息资源共享机制、完善失信联合惩戒机制及联合普法宣传机制等项工作进行研讨。高新区法院与市场监督管理局高新分局、高新区检察院联合签署《加强知识产权领域司法审判和行政执法合作备忘录》，完善会商机制，提升联动反应速度效率，构建知识产权司法保护多层次、全方位的体系框架。</w:t>
      </w:r>
    </w:p>
    <w:p w:rsidR="00B0290E" w:rsidRDefault="00B0290E" w:rsidP="00B0290E">
      <w:pPr>
        <w:ind w:firstLineChars="200" w:firstLine="420"/>
      </w:pPr>
      <w:r>
        <w:rPr>
          <w:rFonts w:hint="eastAsia"/>
        </w:rPr>
        <w:t>四、发挥破产审判优势，助力企业“破茧重生”</w:t>
      </w:r>
    </w:p>
    <w:p w:rsidR="00B0290E" w:rsidRDefault="00B0290E" w:rsidP="00B0290E">
      <w:pPr>
        <w:ind w:firstLineChars="200" w:firstLine="420"/>
      </w:pPr>
      <w:r>
        <w:rPr>
          <w:rFonts w:hint="eastAsia"/>
        </w:rPr>
        <w:t>全市法院着力提升破产审判质效，实现了五个新突破。</w:t>
      </w:r>
    </w:p>
    <w:p w:rsidR="00B0290E" w:rsidRDefault="00B0290E" w:rsidP="00B0290E">
      <w:pPr>
        <w:ind w:firstLineChars="200" w:firstLine="420"/>
      </w:pPr>
      <w:r>
        <w:rPr>
          <w:rFonts w:hint="eastAsia"/>
        </w:rPr>
        <w:t>一是思想观念上实现新突破。通过专题会议、下发文件等形式，树立服务大局、服务社会的新司法理念。建立了两级法院破产审判一把手负总责制度。发挥市中院指导、督导、协调职能，加强与基层法院纵向协同，实现了破产审判同频共振、上下协同。</w:t>
      </w:r>
    </w:p>
    <w:p w:rsidR="00B0290E" w:rsidRDefault="00B0290E" w:rsidP="00B0290E">
      <w:pPr>
        <w:ind w:firstLineChars="200" w:firstLine="420"/>
      </w:pPr>
      <w:r>
        <w:rPr>
          <w:rFonts w:hint="eastAsia"/>
        </w:rPr>
        <w:t>二是管理人作用发挥上实现新突破。积极落实国家十三部委《关于推动和保障管理人在破产程序中依法履职的意见》精神，支持管理人依法履职，鼓励管理人探索预重整等庭外重整方式，实现多渠道、多方式企业救治解困。</w:t>
      </w:r>
    </w:p>
    <w:p w:rsidR="00B0290E" w:rsidRDefault="00B0290E" w:rsidP="00B0290E">
      <w:pPr>
        <w:ind w:firstLineChars="200" w:firstLine="420"/>
      </w:pPr>
      <w:r>
        <w:rPr>
          <w:rFonts w:hint="eastAsia"/>
        </w:rPr>
        <w:t>三是组织机构上实现新突破。</w:t>
      </w:r>
      <w:r>
        <w:t>2022</w:t>
      </w:r>
      <w:r>
        <w:t>年，唐山清算与破产审判庭挂牌，并举行了揭牌仪式，清算与破产审判庭的建立为破产审判专业化、规范化、高效化搭建了高起点平台。</w:t>
      </w:r>
    </w:p>
    <w:p w:rsidR="00B0290E" w:rsidRDefault="00B0290E" w:rsidP="00B0290E">
      <w:pPr>
        <w:ind w:firstLineChars="200" w:firstLine="420"/>
      </w:pPr>
      <w:r>
        <w:rPr>
          <w:rFonts w:hint="eastAsia"/>
        </w:rPr>
        <w:t>四是配套制度上实现新突破。全年完成《关于审理企业预重整案件工作流程汇编》、《破产、清算案件单独绩效考核办法</w:t>
      </w:r>
      <w:r>
        <w:t>(</w:t>
      </w:r>
      <w:r>
        <w:t>试行</w:t>
      </w:r>
      <w:r>
        <w:t>)</w:t>
      </w:r>
      <w:r>
        <w:t>》、《关于建立繁简分流机制加快推进破产案件审理的操作规程</w:t>
      </w:r>
      <w:r>
        <w:t>(</w:t>
      </w:r>
      <w:r>
        <w:t>试行</w:t>
      </w:r>
      <w:r>
        <w:t>)</w:t>
      </w:r>
      <w:r>
        <w:t>》等</w:t>
      </w:r>
      <w:r>
        <w:t>6</w:t>
      </w:r>
      <w:r>
        <w:t>部办理破产案件配套制度规定，并下发各部门，同时呈报省院备案。</w:t>
      </w:r>
    </w:p>
    <w:p w:rsidR="00B0290E" w:rsidRDefault="00B0290E" w:rsidP="00B0290E">
      <w:pPr>
        <w:ind w:firstLineChars="200" w:firstLine="420"/>
      </w:pPr>
      <w:r>
        <w:rPr>
          <w:rFonts w:hint="eastAsia"/>
        </w:rPr>
        <w:t>五是社会效果实现新突破。我市禾木花苑破产重整成功案例相继被中央电视台、今日头条、网易新闻、百度新闻、唐山电视台、河北法制报等国内主流媒体关注报道，赢得了社会的赞誉和群众的好评。《关于建立“烂尾楼盘”复工复建司法保障机制力促实现“保交楼</w:t>
      </w:r>
      <w:r>
        <w:t xml:space="preserve"> </w:t>
      </w:r>
      <w:r>
        <w:t>稳民生</w:t>
      </w:r>
      <w:r>
        <w:t>”</w:t>
      </w:r>
      <w:r>
        <w:t>工作情况报告》被河北省高院院长黄明耀、唐山市委书记武卫东肯定和批示，并呈报最高院。并在省两会的法院工作报告中作为亮点工作向各位人大代表进行了汇报，同时被提名为全省</w:t>
      </w:r>
      <w:r>
        <w:t>2022</w:t>
      </w:r>
      <w:r>
        <w:t>年度的</w:t>
      </w:r>
      <w:r>
        <w:t>“</w:t>
      </w:r>
      <w:r>
        <w:t>十大法治事件</w:t>
      </w:r>
      <w:r>
        <w:t>”</w:t>
      </w:r>
      <w:r>
        <w:t>。</w:t>
      </w:r>
    </w:p>
    <w:p w:rsidR="00B0290E" w:rsidRDefault="00B0290E" w:rsidP="00B0290E">
      <w:pPr>
        <w:ind w:firstLineChars="200" w:firstLine="420"/>
      </w:pPr>
      <w:r>
        <w:rPr>
          <w:rFonts w:hint="eastAsia"/>
        </w:rPr>
        <w:t>五、深化审执分离改革，努力破解执行难题</w:t>
      </w:r>
    </w:p>
    <w:p w:rsidR="00B0290E" w:rsidRDefault="00B0290E" w:rsidP="00B0290E">
      <w:pPr>
        <w:ind w:firstLineChars="200" w:firstLine="420"/>
      </w:pPr>
      <w:r>
        <w:rPr>
          <w:rFonts w:hint="eastAsia"/>
        </w:rPr>
        <w:t>一是深入开展质效提升年暨专项整顿活动。制定《关于开展质效提升年活动的实施方案》，围绕省法院</w:t>
      </w:r>
      <w:r>
        <w:t>2023</w:t>
      </w:r>
      <w:r>
        <w:t>年度执行管理考核具体指标内容，逐项对照分解、明确目标、细化措施、夯实责任，力争全市法院执行质效每季度、半年、全年排名位居全省前列，打赢案件质效翻身仗。</w:t>
      </w:r>
    </w:p>
    <w:p w:rsidR="00B0290E" w:rsidRDefault="00B0290E" w:rsidP="00B0290E">
      <w:pPr>
        <w:ind w:firstLineChars="200" w:firstLine="420"/>
      </w:pPr>
      <w:r>
        <w:rPr>
          <w:rFonts w:hint="eastAsia"/>
        </w:rPr>
        <w:t>二是全面加强巡回督导。成立专项督导组，围绕优化营商环境涉“执行合同”指标提升中的具体指标、关键环节进行精细指导、巡回督导，并紧密结合各基层法院实际，通过加强上下协调调度、统一讲解培训、现场教学指导、驻点支持帮扶、着力建章立制、落后部门约谈等多重举措，快速实现了全市法院营商环境关键指标和执行质效的双提升。</w:t>
      </w:r>
    </w:p>
    <w:p w:rsidR="00B0290E" w:rsidRDefault="00B0290E" w:rsidP="00B0290E">
      <w:pPr>
        <w:ind w:firstLineChars="200" w:firstLine="420"/>
      </w:pPr>
      <w:r>
        <w:rPr>
          <w:rFonts w:hint="eastAsia"/>
        </w:rPr>
        <w:t>三是全面加大执行力度。大力开展集中执行攻坚行动，按照“春季惊雷”“夏日风暴”“秋季攻势”“冬日暖心”四个阶段接续发力，开展</w:t>
      </w:r>
      <w:r>
        <w:t>2023</w:t>
      </w:r>
      <w:r>
        <w:t>年常态化集中执行行动，持续增强执行威慑力，努力提升群众满意度。</w:t>
      </w:r>
    </w:p>
    <w:p w:rsidR="00B0290E" w:rsidRDefault="00B0290E" w:rsidP="00B0290E">
      <w:pPr>
        <w:ind w:firstLineChars="200" w:firstLine="420"/>
      </w:pPr>
      <w:r>
        <w:rPr>
          <w:rFonts w:hint="eastAsia"/>
        </w:rPr>
        <w:t>四是强化善意文明执行。制定《关于集中开展失信被执行人专项治理行动的通知》，对各类经营主体严格审慎适用失信名单制度，重点强调失信惩戒的精准性和适度性。建立涉企失信惩戒预处罚制度，最大限度降低对企业经营可能造成的不利影响。建立健全信用修复机制，发挥守信正向激励作用，在多方面给于企业便利支持，助力优化法治化营商环境。</w:t>
      </w:r>
    </w:p>
    <w:p w:rsidR="00B0290E" w:rsidRDefault="00B0290E" w:rsidP="00B0290E">
      <w:pPr>
        <w:ind w:firstLineChars="200" w:firstLine="420"/>
      </w:pPr>
      <w:r>
        <w:rPr>
          <w:rFonts w:hint="eastAsia"/>
        </w:rPr>
        <w:t>五是首创“法拍贷”机制。我院与市公积金管理中心共同建立法拍房贷款业务合作机制，签订《关于开展“法拍房”试点公积金贷款合作的备忘录》，成为全省首家开展公积金法拍房贷款业务的法院，在全省法院发挥典型示范效应，对助力我市优化营商环境工作产生积极作用。</w:t>
      </w:r>
    </w:p>
    <w:p w:rsidR="00B0290E" w:rsidRDefault="00B0290E" w:rsidP="00B0290E">
      <w:pPr>
        <w:ind w:firstLineChars="200" w:firstLine="420"/>
      </w:pPr>
      <w:r>
        <w:rPr>
          <w:rFonts w:hint="eastAsia"/>
        </w:rPr>
        <w:t>六是开展“涉妇女、儿童权益类”案件专项行动。以保障妇女、儿童权益为出发点，充分发挥法院职能作用，加大对妇女、儿童权益保护力度，着力解决一批涉妇女、儿童权益类的“骨头案”“钉子案”，一案一策，刚柔并济。广泛邀请人大、民政、妇联等职能部门参与其中，通过法院联动各职能部门，借用司法救助、社会救助等渠道，努力从全方位、多角度帮扶生活困难的妇女、儿童群体，以联动工作机制推动在全市掀起一股关心、保护妇女、儿童权益的浪潮。</w:t>
      </w:r>
    </w:p>
    <w:p w:rsidR="00B0290E" w:rsidRDefault="00B0290E" w:rsidP="00B0290E">
      <w:pPr>
        <w:ind w:firstLineChars="200" w:firstLine="420"/>
      </w:pPr>
      <w:r>
        <w:rPr>
          <w:rFonts w:hint="eastAsia"/>
        </w:rPr>
        <w:t>现场问答部分</w:t>
      </w:r>
    </w:p>
    <w:p w:rsidR="00B0290E" w:rsidRDefault="00B0290E" w:rsidP="00B0290E">
      <w:pPr>
        <w:ind w:firstLineChars="200" w:firstLine="420"/>
      </w:pPr>
      <w:r>
        <w:rPr>
          <w:rFonts w:hint="eastAsia"/>
        </w:rPr>
        <w:t>问题一：请您介绍一下群众比较关注的路北区金凤桐禾木花苑项目重整情况，目前这一项目的进度怎样？</w:t>
      </w:r>
    </w:p>
    <w:p w:rsidR="00B0290E" w:rsidRDefault="00B0290E" w:rsidP="00B0290E">
      <w:pPr>
        <w:ind w:firstLineChars="200" w:firstLine="420"/>
      </w:pPr>
      <w:r>
        <w:rPr>
          <w:rFonts w:hint="eastAsia"/>
        </w:rPr>
        <w:t>答：感谢您对禾木花苑项目的关心。金凤桐禾木花苑项目于</w:t>
      </w:r>
      <w:r>
        <w:t>2015</w:t>
      </w:r>
      <w:r>
        <w:t>年因资金链断裂停建烂尾，导致无法向</w:t>
      </w:r>
      <w:r>
        <w:t>700</w:t>
      </w:r>
      <w:r>
        <w:t>多家回迁户、购房户交房。</w:t>
      </w:r>
      <w:r>
        <w:t>2017</w:t>
      </w:r>
      <w:r>
        <w:t>年</w:t>
      </w:r>
      <w:r>
        <w:t>5</w:t>
      </w:r>
      <w:r>
        <w:t>月</w:t>
      </w:r>
      <w:r>
        <w:t>12</w:t>
      </w:r>
      <w:r>
        <w:t>日，市中院裁定受理金凤桐公司破产重整，成为唐山中院首例房地产破产重整案件。</w:t>
      </w:r>
      <w:r>
        <w:t>2017</w:t>
      </w:r>
      <w:r>
        <w:t>年</w:t>
      </w:r>
      <w:r>
        <w:t>7</w:t>
      </w:r>
      <w:r>
        <w:t>月，管理人接管金凤桐公司。经过</w:t>
      </w:r>
      <w:r>
        <w:t>4</w:t>
      </w:r>
      <w:r>
        <w:t>年艰苦工作，</w:t>
      </w:r>
      <w:r>
        <w:t>2021</w:t>
      </w:r>
      <w:r>
        <w:t>年</w:t>
      </w:r>
      <w:r>
        <w:t>5</w:t>
      </w:r>
      <w:r>
        <w:t>月，市中院裁定批准《重整计划（草案）》。投资人进场后，全面开展复工复建、债务清偿工作。截至</w:t>
      </w:r>
      <w:r>
        <w:t>2022</w:t>
      </w:r>
      <w:r>
        <w:t>年</w:t>
      </w:r>
      <w:r>
        <w:t>10</w:t>
      </w:r>
      <w:r>
        <w:t>月份，该小区已竣工交付，</w:t>
      </w:r>
      <w:r>
        <w:t>356</w:t>
      </w:r>
      <w:r>
        <w:t>家动迁户、</w:t>
      </w:r>
      <w:r>
        <w:t>414</w:t>
      </w:r>
      <w:r>
        <w:t>家购房户喜迁新居。重整投资人如期履行了重整计划，清偿了</w:t>
      </w:r>
      <w:r>
        <w:t>134</w:t>
      </w:r>
      <w:r>
        <w:t>名普通债权人现金</w:t>
      </w:r>
      <w:r>
        <w:t>1222</w:t>
      </w:r>
      <w:r>
        <w:t>万元、</w:t>
      </w:r>
      <w:r>
        <w:t>113</w:t>
      </w:r>
      <w:r>
        <w:t>名消费者购房人债权</w:t>
      </w:r>
      <w:r>
        <w:t>2503</w:t>
      </w:r>
      <w:r>
        <w:t>万元、建设工程优先债权及税务债权</w:t>
      </w:r>
      <w:r>
        <w:t>1933</w:t>
      </w:r>
      <w:r>
        <w:t>万元，</w:t>
      </w:r>
      <w:r>
        <w:t>47</w:t>
      </w:r>
      <w:r>
        <w:t>名职工债权</w:t>
      </w:r>
      <w:r>
        <w:t>239</w:t>
      </w:r>
      <w:r>
        <w:t>万元，向普通债权人交付商业房工作也已于</w:t>
      </w:r>
      <w:r>
        <w:t>2023</w:t>
      </w:r>
      <w:r>
        <w:t>年</w:t>
      </w:r>
      <w:r>
        <w:t>1</w:t>
      </w:r>
      <w:r>
        <w:t>月开始，待征求普通债权人意见并制定出具体分配方案后实施。</w:t>
      </w:r>
    </w:p>
    <w:p w:rsidR="00B0290E" w:rsidRDefault="00B0290E" w:rsidP="00B0290E">
      <w:pPr>
        <w:ind w:firstLineChars="200" w:firstLine="420"/>
      </w:pPr>
      <w:r>
        <w:t>2021</w:t>
      </w:r>
      <w:r>
        <w:t>年</w:t>
      </w:r>
      <w:r>
        <w:t>12</w:t>
      </w:r>
      <w:r>
        <w:t>月</w:t>
      </w:r>
      <w:r>
        <w:t>25</w:t>
      </w:r>
      <w:r>
        <w:t>日，中央电视台新闻频道《新闻直播间》栏目报道了河北唐山禾木花苑项目重整成功的案例，被媒体称为解决了群众</w:t>
      </w:r>
      <w:r>
        <w:t>“</w:t>
      </w:r>
      <w:r>
        <w:t>急难愁盼</w:t>
      </w:r>
      <w:r>
        <w:t>”</w:t>
      </w:r>
      <w:r>
        <w:t>的民心工程。</w:t>
      </w:r>
    </w:p>
    <w:p w:rsidR="00B0290E" w:rsidRDefault="00B0290E" w:rsidP="00B0290E">
      <w:pPr>
        <w:ind w:firstLineChars="200" w:firstLine="420"/>
      </w:pPr>
      <w:r>
        <w:rPr>
          <w:rFonts w:hint="eastAsia"/>
        </w:rPr>
        <w:t>问题二：我市在促进房地产企业破产重整中都采取了哪些有力措施，取得的效果如何？</w:t>
      </w:r>
    </w:p>
    <w:p w:rsidR="00B0290E" w:rsidRDefault="00B0290E" w:rsidP="00B0290E">
      <w:pPr>
        <w:ind w:firstLineChars="200" w:firstLine="420"/>
      </w:pPr>
      <w:r>
        <w:rPr>
          <w:rFonts w:hint="eastAsia"/>
        </w:rPr>
        <w:t>答：近年来，唐山法院在办理房地产企业破产案件中，创新实践四大司法保障机制，建立了府院协调推进保障机制、资金筹集保障机制、复工复建保障机制、房产公平分配及交付保障机制。四大保障机制依靠府院联动、法院主导、管理人落实，投资人、续建施工人、债权人、业主购房人等利益相关方积极配合，形成司法主导，行政保障，社会支持的“烂尾楼”重整良性互动机制，取得了良好的社会效果，实现了政府、企业、购房户“三方共赢”及“保交楼、稳民生”的良好预期。</w:t>
      </w:r>
      <w:r>
        <w:t>2015</w:t>
      </w:r>
      <w:r>
        <w:t>至</w:t>
      </w:r>
      <w:r>
        <w:t>2022</w:t>
      </w:r>
      <w:r>
        <w:t>年，共受理烂尾楼盘的房地产企业破产案件</w:t>
      </w:r>
      <w:r>
        <w:t>23</w:t>
      </w:r>
      <w:r>
        <w:t>件，涉及烂尾楼盘</w:t>
      </w:r>
      <w:r>
        <w:t>22</w:t>
      </w:r>
      <w:r>
        <w:t>个，总</w:t>
      </w:r>
      <w:r>
        <w:rPr>
          <w:rFonts w:hint="eastAsia"/>
        </w:rPr>
        <w:t>建筑面积约</w:t>
      </w:r>
      <w:r>
        <w:t>277</w:t>
      </w:r>
      <w:r>
        <w:t>万平米、资产总量约</w:t>
      </w:r>
      <w:r>
        <w:t>214</w:t>
      </w:r>
      <w:r>
        <w:t>亿元、购房户约</w:t>
      </w:r>
      <w:r>
        <w:t>1.9</w:t>
      </w:r>
      <w:r>
        <w:t>万户。截至</w:t>
      </w:r>
      <w:r>
        <w:t>2022</w:t>
      </w:r>
      <w:r>
        <w:t>年末，</w:t>
      </w:r>
      <w:r>
        <w:t>22</w:t>
      </w:r>
      <w:r>
        <w:t>个烂尾楼盘已基本实现了全面复工复建，禾木花苑、东成世嘉、大陆地产、河西里等十余个项目已经竣工或即将交付，有</w:t>
      </w:r>
      <w:r>
        <w:t>5</w:t>
      </w:r>
      <w:r>
        <w:t>个楼盘将在</w:t>
      </w:r>
      <w:r>
        <w:t>2</w:t>
      </w:r>
      <w:r>
        <w:t>年之内建成交付，届时将实现重整</w:t>
      </w:r>
      <w:r>
        <w:t>“</w:t>
      </w:r>
      <w:r>
        <w:t>烂尾楼</w:t>
      </w:r>
      <w:r>
        <w:t>”</w:t>
      </w:r>
      <w:r>
        <w:t>清</w:t>
      </w:r>
      <w:r>
        <w:t>“</w:t>
      </w:r>
      <w:r>
        <w:t>零</w:t>
      </w:r>
      <w:r>
        <w:t>”</w:t>
      </w:r>
      <w:r>
        <w:t>目标。唐山法院建立房企破产重整四大司法保障机制做法于</w:t>
      </w:r>
      <w:r>
        <w:t>2022</w:t>
      </w:r>
      <w:r>
        <w:t>年</w:t>
      </w:r>
      <w:r>
        <w:t>8</w:t>
      </w:r>
      <w:r>
        <w:t>月得到河北省高院院长黄明耀、唐山市委书记武卫东的肯定和批示。</w:t>
      </w:r>
    </w:p>
    <w:p w:rsidR="00B0290E" w:rsidRDefault="00B0290E" w:rsidP="00B0290E">
      <w:pPr>
        <w:ind w:firstLineChars="200" w:firstLine="420"/>
      </w:pPr>
      <w:r>
        <w:rPr>
          <w:rFonts w:hint="eastAsia"/>
        </w:rPr>
        <w:t>问题三：今年我市在争创一流营商环境，提高破产审判质效、加快破产企业案件结案率方面采取了哪些有力措施？</w:t>
      </w:r>
    </w:p>
    <w:p w:rsidR="00B0290E" w:rsidRDefault="00B0290E" w:rsidP="00B0290E">
      <w:pPr>
        <w:ind w:firstLineChars="200" w:firstLine="420"/>
      </w:pPr>
      <w:r>
        <w:rPr>
          <w:rFonts w:hint="eastAsia"/>
        </w:rPr>
        <w:t>答：为加快破产案件审理，提高破产案件结案率，今年我们在全市范围开展了破产积案集中处置会战，市中院、市政府相关部门为此专门拟定了工作方案，成立了由市政府领导、市中院院长为组长的领导小组，唐山市金融管理局、工业和信息化局、发展和改革委员会、市公安局、市财政局、人力资源和社会保障局等</w:t>
      </w:r>
      <w:r>
        <w:t>19</w:t>
      </w:r>
      <w:r>
        <w:t>个部门为成员的破产积案集中处置专班，建立了联席会议制度，定期沟通情况，制定具体工作措施。各基层法院梳理破产积案存量，制定结案进度表，明确目标、制定措施、指定专人，集中精力解决障碍破产案件进程的具体问题。计划到今年</w:t>
      </w:r>
      <w:r>
        <w:t>8</w:t>
      </w:r>
      <w:r>
        <w:t>月底前，实现重点</w:t>
      </w:r>
      <w:r>
        <w:rPr>
          <w:rFonts w:hint="eastAsia"/>
        </w:rPr>
        <w:t>破产积案全部结案。目前，该集中处置会战正在展开，相关重点破产案件已经取得了阶段性成果。</w:t>
      </w:r>
    </w:p>
    <w:p w:rsidR="00B0290E" w:rsidRDefault="00B0290E" w:rsidP="00B0290E">
      <w:pPr>
        <w:ind w:firstLineChars="200" w:firstLine="420"/>
      </w:pPr>
      <w:r>
        <w:rPr>
          <w:rFonts w:hint="eastAsia"/>
        </w:rPr>
        <w:t>问题四：今年我市在执行联动机制建设方面有哪些新举措？</w:t>
      </w:r>
    </w:p>
    <w:p w:rsidR="00B0290E" w:rsidRDefault="00B0290E" w:rsidP="00B0290E">
      <w:pPr>
        <w:ind w:firstLineChars="200" w:firstLine="420"/>
      </w:pPr>
      <w:r>
        <w:rPr>
          <w:rFonts w:hint="eastAsia"/>
        </w:rPr>
        <w:t>答：在今年，我院与市住房公积金管理中心签署了“法拍房”公积金贷款合作备忘录，此次合作是跨部门执行联动协作机制的又一开创性成果，对于提升法院财产处置变现率，提高网络司法拍卖成交率，及时兑现当事人胜诉权益，保护职工购房权益，激发市场主体活力将起到积极作用。</w:t>
      </w:r>
    </w:p>
    <w:p w:rsidR="00B0290E" w:rsidRDefault="00B0290E" w:rsidP="00B0290E">
      <w:pPr>
        <w:ind w:firstLineChars="200" w:firstLine="420"/>
      </w:pPr>
      <w:r>
        <w:rPr>
          <w:rFonts w:hint="eastAsia"/>
        </w:rPr>
        <w:t>同时，我市也是全省首家开展“法拍房”公积金贷款业务的地区，对全市执行联动机制建设发挥了示范效应，对助力优化我市营商环境作出重要贡献。</w:t>
      </w:r>
    </w:p>
    <w:p w:rsidR="00B0290E" w:rsidRPr="00C80886" w:rsidRDefault="00B0290E" w:rsidP="00C80886">
      <w:pPr>
        <w:jc w:val="right"/>
      </w:pPr>
      <w:r w:rsidRPr="00C80886">
        <w:rPr>
          <w:rFonts w:hint="eastAsia"/>
        </w:rPr>
        <w:t>唐山发布</w:t>
      </w:r>
      <w:r>
        <w:rPr>
          <w:rFonts w:hint="eastAsia"/>
        </w:rPr>
        <w:t xml:space="preserve"> 2023-7-13</w:t>
      </w:r>
    </w:p>
    <w:p w:rsidR="00B0290E" w:rsidRDefault="00B0290E" w:rsidP="000A761A">
      <w:pPr>
        <w:sectPr w:rsidR="00B0290E" w:rsidSect="000A761A">
          <w:type w:val="continuous"/>
          <w:pgSz w:w="11906" w:h="16838"/>
          <w:pgMar w:top="1644" w:right="1236" w:bottom="1418" w:left="1814" w:header="851" w:footer="907" w:gutter="0"/>
          <w:pgNumType w:start="1"/>
          <w:cols w:space="720"/>
          <w:docGrid w:type="lines" w:linePitch="341" w:charSpace="2373"/>
        </w:sectPr>
      </w:pPr>
    </w:p>
    <w:p w:rsidR="00280ADC" w:rsidRDefault="00280ADC"/>
    <w:sectPr w:rsidR="00280ADC">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B0290E"/>
    <w:rsid w:val="00280ADC"/>
    <w:rsid w:val="00B0290E"/>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B0290E"/>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B0290E"/>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730</Words>
  <Characters>4165</Characters>
  <Application>Microsoft Office Word</Application>
  <DocSecurity>0</DocSecurity>
  <Lines>34</Lines>
  <Paragraphs>9</Paragraphs>
  <ScaleCrop>false</ScaleCrop>
  <Company>Microsoft</Company>
  <LinksUpToDate>false</LinksUpToDate>
  <CharactersWithSpaces>4886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2023-07-20T08:51:00Z</dcterms:created>
</cp:coreProperties>
</file>