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D0" w:rsidRPr="00D51BF5" w:rsidRDefault="008926D0" w:rsidP="00D51BF5">
      <w:pPr>
        <w:pStyle w:val="1"/>
      </w:pPr>
      <w:r w:rsidRPr="00D51BF5">
        <w:rPr>
          <w:rFonts w:hint="eastAsia"/>
        </w:rPr>
        <w:t>灵璧县商务局</w:t>
      </w:r>
      <w:r w:rsidRPr="00D51BF5">
        <w:t>2023年上半年工作总结和下半年工作计划</w:t>
      </w:r>
    </w:p>
    <w:p w:rsidR="008926D0" w:rsidRDefault="008926D0" w:rsidP="008926D0">
      <w:pPr>
        <w:ind w:firstLineChars="200" w:firstLine="420"/>
        <w:jc w:val="left"/>
      </w:pPr>
      <w:r>
        <w:rPr>
          <w:rFonts w:hint="eastAsia"/>
        </w:rPr>
        <w:t>今年以来，县商务局紧紧围绕省市商务经济工作会议精神，全面落实县第十八届人民代表大会第三次会议明确的各项决策部署，把打好经济翻身仗摆在优先位置，以超常规力度，千方百计促消费、拓市场、稳企业，深入谋划全县商务经济各项工作，全力推进全县商务经济高质量发展。</w:t>
      </w:r>
    </w:p>
    <w:p w:rsidR="008926D0" w:rsidRDefault="008926D0" w:rsidP="008926D0">
      <w:pPr>
        <w:ind w:firstLineChars="200" w:firstLine="420"/>
        <w:jc w:val="left"/>
      </w:pPr>
      <w:r>
        <w:rPr>
          <w:rFonts w:hint="eastAsia"/>
        </w:rPr>
        <w:t>一、商务经济指标完成情况</w:t>
      </w:r>
    </w:p>
    <w:p w:rsidR="008926D0" w:rsidRDefault="008926D0" w:rsidP="008926D0">
      <w:pPr>
        <w:ind w:firstLineChars="200" w:firstLine="420"/>
        <w:jc w:val="left"/>
      </w:pPr>
      <w:r>
        <w:rPr>
          <w:rFonts w:hint="eastAsia"/>
        </w:rPr>
        <w:t>（一）社会消费品零售总额。</w:t>
      </w:r>
      <w:r>
        <w:t>2023</w:t>
      </w:r>
      <w:r>
        <w:t>第一季度社会消费品零售总额</w:t>
      </w:r>
      <w:r>
        <w:t>47.92</w:t>
      </w:r>
      <w:r>
        <w:t>亿元，同比下降</w:t>
      </w:r>
      <w:r>
        <w:t>0.9%</w:t>
      </w:r>
      <w:r>
        <w:t>，预计上半年社会消费品零售总额</w:t>
      </w:r>
      <w:r>
        <w:t>81</w:t>
      </w:r>
      <w:r>
        <w:t>亿元。</w:t>
      </w:r>
      <w:r>
        <w:t>2023</w:t>
      </w:r>
      <w:r>
        <w:t>年</w:t>
      </w:r>
      <w:r>
        <w:t>1-5</w:t>
      </w:r>
      <w:r>
        <w:t>月份，限额以上社会消费品零售额可实现</w:t>
      </w:r>
      <w:r>
        <w:t>6.34</w:t>
      </w:r>
      <w:r>
        <w:t>亿元，同比下降</w:t>
      </w:r>
      <w:r>
        <w:t>18.8%</w:t>
      </w:r>
      <w:r>
        <w:t>。</w:t>
      </w:r>
    </w:p>
    <w:p w:rsidR="008926D0" w:rsidRDefault="008926D0" w:rsidP="008926D0">
      <w:pPr>
        <w:ind w:firstLineChars="200" w:firstLine="420"/>
        <w:jc w:val="left"/>
      </w:pPr>
      <w:r>
        <w:rPr>
          <w:rFonts w:hint="eastAsia"/>
        </w:rPr>
        <w:t>（二）外贸和利用外资情况。</w:t>
      </w:r>
      <w:r>
        <w:t>2023</w:t>
      </w:r>
      <w:r>
        <w:t>年</w:t>
      </w:r>
      <w:r>
        <w:t>1-4</w:t>
      </w:r>
      <w:r>
        <w:t>月份，全县外贸进出口累计实现</w:t>
      </w:r>
      <w:r>
        <w:t>0.1941</w:t>
      </w:r>
      <w:r>
        <w:t>亿美元，同比下降</w:t>
      </w:r>
      <w:r>
        <w:t>3.57%</w:t>
      </w:r>
      <w:r>
        <w:t>。</w:t>
      </w:r>
      <w:r>
        <w:t>2023</w:t>
      </w:r>
      <w:r>
        <w:t>年</w:t>
      </w:r>
      <w:r>
        <w:t>1-5</w:t>
      </w:r>
      <w:r>
        <w:t>月份，全县外商直接投资（</w:t>
      </w:r>
      <w:r>
        <w:t>FDI</w:t>
      </w:r>
      <w:r>
        <w:t>）</w:t>
      </w:r>
      <w:r>
        <w:t>55</w:t>
      </w:r>
      <w:r>
        <w:t>万美元，协议利用外资</w:t>
      </w:r>
      <w:r>
        <w:t>2000</w:t>
      </w:r>
      <w:r>
        <w:t>万美元。</w:t>
      </w:r>
    </w:p>
    <w:p w:rsidR="008926D0" w:rsidRDefault="008926D0" w:rsidP="008926D0">
      <w:pPr>
        <w:ind w:firstLineChars="200" w:firstLine="420"/>
        <w:jc w:val="left"/>
      </w:pPr>
      <w:r>
        <w:rPr>
          <w:rFonts w:hint="eastAsia"/>
        </w:rPr>
        <w:t>（三）电子商务。</w:t>
      </w:r>
      <w:r>
        <w:t>2023</w:t>
      </w:r>
      <w:r>
        <w:t>年</w:t>
      </w:r>
      <w:r>
        <w:t>1-6</w:t>
      </w:r>
      <w:r>
        <w:t>月份，全县农村电子商务网络交易额</w:t>
      </w:r>
      <w:r>
        <w:t>12.26</w:t>
      </w:r>
      <w:r>
        <w:t>亿元，同比增长</w:t>
      </w:r>
      <w:r>
        <w:t>4.8%</w:t>
      </w:r>
      <w:r>
        <w:t>。其中下行商品实现交易额</w:t>
      </w:r>
      <w:r>
        <w:t>8.13</w:t>
      </w:r>
      <w:r>
        <w:t>亿元，同比增长</w:t>
      </w:r>
      <w:r>
        <w:t>4.6%</w:t>
      </w:r>
      <w:r>
        <w:t>，上行农村产品网销额实现</w:t>
      </w:r>
      <w:r>
        <w:t>4.13</w:t>
      </w:r>
      <w:r>
        <w:t>亿元，同比增长</w:t>
      </w:r>
      <w:r>
        <w:t>5.2%</w:t>
      </w:r>
      <w:r>
        <w:t>。其中农产品网销零售额实现</w:t>
      </w:r>
      <w:r>
        <w:t>2.08</w:t>
      </w:r>
      <w:r>
        <w:t>亿元，同比增长</w:t>
      </w:r>
      <w:r>
        <w:t>2.9%</w:t>
      </w:r>
      <w:r>
        <w:t>。</w:t>
      </w:r>
    </w:p>
    <w:p w:rsidR="008926D0" w:rsidRDefault="008926D0" w:rsidP="008926D0">
      <w:pPr>
        <w:ind w:firstLineChars="200" w:firstLine="420"/>
        <w:jc w:val="left"/>
      </w:pPr>
      <w:r>
        <w:rPr>
          <w:rFonts w:hint="eastAsia"/>
        </w:rPr>
        <w:t>二、重点工作开展情况</w:t>
      </w:r>
    </w:p>
    <w:p w:rsidR="008926D0" w:rsidRDefault="008926D0" w:rsidP="008926D0">
      <w:pPr>
        <w:ind w:firstLineChars="200" w:firstLine="420"/>
        <w:jc w:val="left"/>
      </w:pPr>
      <w:r>
        <w:rPr>
          <w:rFonts w:hint="eastAsia"/>
        </w:rPr>
        <w:t>（一）社会消费品零售总额工作。一是扎实推动限上企业梯次培育计划，实行“一企一策”精准培育。做到应纳尽纳、应统尽统。二是加强与统计部门和镇、开发区沟通，及时跟踪新增限额以上企业预申报名单，抓好申报落实工作。目前已摸排培育企业</w:t>
      </w:r>
      <w:r>
        <w:t>30</w:t>
      </w:r>
      <w:r>
        <w:t>余家，其中杨疃食用菌销售、渔沟书西湖羊、开发区诺源文化传媒符合月度纳统条件，争取月度完成纳统。三是加快城市商业综合体的培育孵化。强力推进翔茂商业综合体、颐高新天地等城市商业综合体建设。借此吸纳引进商贸流通业知名品牌入驻，从而培育出大型限额以上商贸流通企业，推动县域商贸经济再上一个新台阶</w:t>
      </w:r>
      <w:r>
        <w:rPr>
          <w:rFonts w:hint="eastAsia"/>
        </w:rPr>
        <w:t>。</w:t>
      </w:r>
    </w:p>
    <w:p w:rsidR="008926D0" w:rsidRDefault="008926D0" w:rsidP="008926D0">
      <w:pPr>
        <w:ind w:firstLineChars="200" w:firstLine="420"/>
        <w:jc w:val="left"/>
      </w:pPr>
      <w:r>
        <w:rPr>
          <w:rFonts w:hint="eastAsia"/>
        </w:rPr>
        <w:t>（二）加强商贸流通服务。一是结合县“十四五”相关发展规划，对照县域商业建设标准，通过实施县域商业建设行动，建立完善县域统筹、以县城为中心、乡镇为重点、村为基础的农村商业体系。二是计划提升改造县城购物中心、综合商贸中心、满足居民多元消费功能，提升县城综合商业服务能力。打造灵璧县翔茂中心商贸综合体，推动消费业态集聚，满足县域居民大件、高端消费。推动灵璧县颐高电商新天地建设，打造新零售商业街及网红打卡地，汇聚“吃喝玩乐购游”的灵璧新商业中心。计划新建“新华御府夜市一条街”，为群众提供更加丰富、充实、安全、便利的夜生活，提高人民群众生活品质。三是强化项目引领。以项目谋划推进县域商业体系建设，根据省市建立县域商业体建设项目库的要求，按照平稳推进的原则，在对我县县域商业体系现状调研摸底的基础上，共谋划商业网点建设、农贸市场改造提升、物流快递、大型主体培育、农产品流通等建设项目，建设我县县域商业体系</w:t>
      </w:r>
      <w:r>
        <w:t>2022-2025</w:t>
      </w:r>
      <w:r>
        <w:t>年储备项目库，为推动农村消费提质扩容打下基础。四是加快发展便民商贸服务体系。积极推进以联华超市、茂和购物广场、茂润商贸、联家红、苏果、鹿鸣、百年润大型商超为中心、以星罗密布的社区连锁便利店为基础、以莱迪美食街、</w:t>
      </w:r>
      <w:r>
        <w:rPr>
          <w:rFonts w:hint="eastAsia"/>
        </w:rPr>
        <w:t>步行街为特色商业街等有效促进消费市场繁荣发展的县城“</w:t>
      </w:r>
      <w:r>
        <w:t>15</w:t>
      </w:r>
      <w:r>
        <w:t>分钟生活服务圈</w:t>
      </w:r>
      <w:r>
        <w:t>”</w:t>
      </w:r>
      <w:r>
        <w:t>建设。五是加强市场供应监测。密切跟踪绿兴农批市场、大型商超的供应情况及价格数据动态，加强</w:t>
      </w:r>
      <w:r>
        <w:t>“</w:t>
      </w:r>
      <w:r>
        <w:t>菜篮子</w:t>
      </w:r>
      <w:r>
        <w:t>”</w:t>
      </w:r>
      <w:r>
        <w:t>及日用生活必需品的市场监测，分析预测供求形势及价格变化趋势，提前对重要农产品生产供应情况进行研判调度，做好防范和应对市场异常波动预案，全面服务应急保供工作。同时密切关</w:t>
      </w:r>
      <w:r>
        <w:lastRenderedPageBreak/>
        <w:t>注网络舆情，及时正确引导舆论，有针对性地回应社会关切，确保第一时间响应，快速高效处置社会舆情，稳定社会秩序。</w:t>
      </w:r>
    </w:p>
    <w:p w:rsidR="008926D0" w:rsidRDefault="008926D0" w:rsidP="008926D0">
      <w:pPr>
        <w:ind w:firstLineChars="200" w:firstLine="420"/>
        <w:jc w:val="left"/>
      </w:pPr>
      <w:r>
        <w:rPr>
          <w:rFonts w:hint="eastAsia"/>
        </w:rPr>
        <w:t>（三）消费促进工作。一是健全完善促进消费体制机制。坚持以消费升级引领供给创新，在广泛调研、征求意见的基础上，结合县域实际，制定出台《关于做好完善促进消费体制机制进一步激发居民消费潜力的工作方案》激活消费潜能。二是深入实施“消费升级行动计划”。推进消费促进奖补，积极争引扶持奖补项目资金，精心策划家电、家具等综合消费品、汽车下乡展销等大型主题促消费活动，进一步扩大消费需求，培育新的消费热点。三是开展节庆促销费活动，继续实施以节兴商策略，举办汽车展、购物节和年货节等节庆活动，培育消费热点，搭建促进消费平台，增强传统零售业的活力。</w:t>
      </w:r>
    </w:p>
    <w:p w:rsidR="008926D0" w:rsidRDefault="008926D0" w:rsidP="008926D0">
      <w:pPr>
        <w:ind w:firstLineChars="200" w:firstLine="420"/>
        <w:jc w:val="left"/>
      </w:pPr>
      <w:r>
        <w:rPr>
          <w:rFonts w:hint="eastAsia"/>
        </w:rPr>
        <w:t>（四）维护行业安全稳定。一是扎实做好人员密集场所安全隐患排查治理。牢固树立“隐患就是事故”意识，深入开展安全生产和消防安全隐患排查整治，落实隐患闭环管理，推动企业全员安全生产责任制落实。截止目前，我局出动检查人员</w:t>
      </w:r>
      <w:r>
        <w:t>38</w:t>
      </w:r>
      <w:r>
        <w:t>人次，排查商贸企业</w:t>
      </w:r>
      <w:r>
        <w:t>105</w:t>
      </w:r>
      <w:r>
        <w:t>家次，共排查安全隐患</w:t>
      </w:r>
      <w:r>
        <w:t>35</w:t>
      </w:r>
      <w:r>
        <w:t>处，分别建立台帐，积极督促企业整改，整改率达</w:t>
      </w:r>
      <w:r>
        <w:t>100%</w:t>
      </w:r>
      <w:r>
        <w:t>。二是抓好成品油经营行业规范。完成全县</w:t>
      </w:r>
      <w:r>
        <w:t>49</w:t>
      </w:r>
      <w:r>
        <w:t>家加油站（点）年度检查工作，做好拟建、新建、改建加油站点的业务指导服务工作，完善工作流程，逐步消化历史遗留问题。三是严格开展监管领域执法检查。对大型商场超</w:t>
      </w:r>
      <w:r>
        <w:rPr>
          <w:rFonts w:hint="eastAsia"/>
        </w:rPr>
        <w:t>市、加油站点、二手车交易市场开展”双随机一公开”联合抽查，有效维护公平合法、规范诚信的市场秩序。</w:t>
      </w:r>
    </w:p>
    <w:p w:rsidR="008926D0" w:rsidRDefault="008926D0" w:rsidP="008926D0">
      <w:pPr>
        <w:ind w:firstLineChars="200" w:firstLine="420"/>
        <w:jc w:val="left"/>
      </w:pPr>
      <w:r>
        <w:rPr>
          <w:rFonts w:hint="eastAsia"/>
        </w:rPr>
        <w:t>（五）加快电商创新发展。一是依据我县关于促进农村电商高质量发展的实施方案，指导企业开展项目申报工作。二是紧紧围绕乡村振兴战略部署，聚焦农村产品上行，培育壮大电商主体，引导和推广”电商企业</w:t>
      </w:r>
      <w:r>
        <w:t>+</w:t>
      </w:r>
      <w:r>
        <w:t>合作社（网点）</w:t>
      </w:r>
      <w:r>
        <w:t>+</w:t>
      </w:r>
      <w:r>
        <w:t>农户</w:t>
      </w:r>
      <w:r>
        <w:t>”</w:t>
      </w:r>
      <w:r>
        <w:t>模式，建立电商利益联结机制，帮助我市农业合作社对接电商企业，拓展网络销路。三是组织开展电商业务培训，以提升实战技能，增强带动能力，提升管理服务水平，增强决策指导能力。四是举办灵璧县第四届电商直播大赛，努力培养一批具备理论知识和实践能力相结合的复合型电商人才。五是积极发挥电商公共服务中心引领作用，通过</w:t>
      </w:r>
      <w:r>
        <w:t>”</w:t>
      </w:r>
      <w:r>
        <w:rPr>
          <w:rFonts w:hint="eastAsia"/>
        </w:rPr>
        <w:t>外引”和”内培”，引导电商企业、专业人才向园区集中，促进我县电商集聚发展。</w:t>
      </w:r>
    </w:p>
    <w:p w:rsidR="008926D0" w:rsidRDefault="008926D0" w:rsidP="008926D0">
      <w:pPr>
        <w:ind w:firstLineChars="200" w:firstLine="420"/>
        <w:jc w:val="left"/>
      </w:pPr>
      <w:r>
        <w:rPr>
          <w:rFonts w:hint="eastAsia"/>
        </w:rPr>
        <w:t>（六）强力推进外资外贸双提升。一是培育和支持外贸主体。全面摸排出口供货企业情况，全力做好转自营出口工作。引导备案登记企业，加快实现进出口零的突破。目前我县有进出口实绩的企业</w:t>
      </w:r>
      <w:r>
        <w:t>16</w:t>
      </w:r>
      <w:r>
        <w:t>家，其中进出口额超</w:t>
      </w:r>
      <w:r>
        <w:t>300</w:t>
      </w:r>
      <w:r>
        <w:t>万美元的企业有四家。二是成立外贸综合服务平台企业（安徽省灵韵通国际贸易有限公司），为外贸企业提供销售、报关清关、国际国内运输、跨境支付结算、海外营销推广等一站式服务，使进出口贸易更加轻松快捷，为外贸企业省心、省钱、省力，快速提升我县外贸经济发展水平。三是建立重大外资项目包保制度，在谈、新签项目跟踪制度，多方位完</w:t>
      </w:r>
      <w:r>
        <w:rPr>
          <w:rFonts w:hint="eastAsia"/>
        </w:rPr>
        <w:t>善服务举措，及时掌握项目进度，目前我县新增一家台资企业灵璧日育德养咖啡烘培有限公司，利用外资协议到资</w:t>
      </w:r>
      <w:r>
        <w:t>2000</w:t>
      </w:r>
      <w:r>
        <w:t>万美元，实际到位资金</w:t>
      </w:r>
      <w:r>
        <w:t>55</w:t>
      </w:r>
      <w:r>
        <w:t>万美元。</w:t>
      </w:r>
    </w:p>
    <w:p w:rsidR="008926D0" w:rsidRDefault="008926D0" w:rsidP="008926D0">
      <w:pPr>
        <w:ind w:firstLineChars="200" w:firstLine="420"/>
        <w:jc w:val="left"/>
      </w:pPr>
      <w:r>
        <w:rPr>
          <w:rFonts w:hint="eastAsia"/>
        </w:rPr>
        <w:t>（七）开展“走基层、防风险、促发展、惠民生”活动。按照县委工作安排，我局积极开展“走基层、防风险、促发展、惠民生”活动，全局</w:t>
      </w:r>
      <w:r>
        <w:t>14</w:t>
      </w:r>
      <w:r>
        <w:t>人参与活动，共走访群众</w:t>
      </w:r>
      <w:r>
        <w:t>460</w:t>
      </w:r>
      <w:r>
        <w:t>户，察民情、解民忧、惠民生、暖民心。</w:t>
      </w:r>
    </w:p>
    <w:p w:rsidR="008926D0" w:rsidRDefault="008926D0" w:rsidP="008926D0">
      <w:pPr>
        <w:ind w:firstLineChars="200" w:firstLine="420"/>
        <w:jc w:val="left"/>
      </w:pPr>
      <w:r>
        <w:rPr>
          <w:rFonts w:hint="eastAsia"/>
        </w:rPr>
        <w:t>（八）全面从严治党工作。</w:t>
      </w:r>
    </w:p>
    <w:p w:rsidR="008926D0" w:rsidRDefault="008926D0" w:rsidP="008926D0">
      <w:pPr>
        <w:ind w:firstLineChars="200" w:firstLine="420"/>
        <w:jc w:val="left"/>
      </w:pPr>
      <w:r>
        <w:rPr>
          <w:rFonts w:hint="eastAsia"/>
        </w:rPr>
        <w:t>在党建引领方面：一是认真执行党组政治理论学习要求，党的“二十大”召开以来，县商务局以高度的政治责任感和使命感学习贯彻“二十大”精神，深刻领会”两个确立”的决定性意义。上半年，开展党组理论中心组学习研讨</w:t>
      </w:r>
      <w:r>
        <w:t>6</w:t>
      </w:r>
      <w:r>
        <w:t>次、党支部学习</w:t>
      </w:r>
      <w:r>
        <w:t>6</w:t>
      </w:r>
      <w:r>
        <w:t>次。抓好了各项政治理论学习的落实二是筑牢战斗堡垒，扎实开展领导班子党史学习教育专题民主生活会，认真落实</w:t>
      </w:r>
      <w:r>
        <w:t>”</w:t>
      </w:r>
      <w:r>
        <w:t>三会一课</w:t>
      </w:r>
      <w:r>
        <w:t>”</w:t>
      </w:r>
      <w:r>
        <w:t>、组织生活会、民主评议党员等制度。三是在清明、</w:t>
      </w:r>
      <w:r>
        <w:t>“</w:t>
      </w:r>
      <w:r>
        <w:t>七一</w:t>
      </w:r>
      <w:r>
        <w:t>”</w:t>
      </w:r>
      <w:r>
        <w:t>前期开展祭扫烈士、重温入党誓词、红色研学等方式，进一步加强党性教育，激发党员政治热情。四是结合机关、基层实际，指导退休党支部完</w:t>
      </w:r>
      <w:r>
        <w:rPr>
          <w:rFonts w:hint="eastAsia"/>
        </w:rPr>
        <w:t>成了换届选举工作，制定党支部主题党日学习计划，提高了党支部学习履职能力。</w:t>
      </w:r>
    </w:p>
    <w:p w:rsidR="008926D0" w:rsidRDefault="008926D0" w:rsidP="008926D0">
      <w:pPr>
        <w:ind w:firstLineChars="200" w:firstLine="420"/>
        <w:jc w:val="left"/>
      </w:pPr>
      <w:r>
        <w:rPr>
          <w:rFonts w:hint="eastAsia"/>
        </w:rPr>
        <w:t>在主体责任落实方面：一是认真落实省市县党风廉政建设和反腐败工作会议等精神，党组会、每周工作例会学习传达会议精神，安排部署相关工作，并根据工作需要，完善相关制度规定；二是强化意识形态工作，党组每季度专题研究意识形态工作，加强舆情管控和正面宣传，把意识形态融入商务工作，</w:t>
      </w:r>
      <w:r>
        <w:t xml:space="preserve"> </w:t>
      </w:r>
      <w:r>
        <w:t>班子领导经常性与员工交心谈心，确保所辖范围员工未发生任何意识形态领域问题。三是严格落实党风廉政建设工作责任，每季度召开商务局党风廉政建设专题会议，将党风廉政建设工作与商务工作进行同安排同部署，督促单位职工严格落实八项规定精神，开展党员干部苗头性</w:t>
      </w:r>
      <w:r>
        <w:rPr>
          <w:rFonts w:hint="eastAsia"/>
        </w:rPr>
        <w:t>问题及时通报制度，从源头上预防腐败行为的发生。</w:t>
      </w:r>
    </w:p>
    <w:p w:rsidR="008926D0" w:rsidRDefault="008926D0" w:rsidP="008926D0">
      <w:pPr>
        <w:ind w:firstLineChars="200" w:firstLine="420"/>
        <w:jc w:val="left"/>
      </w:pPr>
      <w:r>
        <w:rPr>
          <w:rFonts w:hint="eastAsia"/>
        </w:rPr>
        <w:t>三、存在的主要问题</w:t>
      </w:r>
    </w:p>
    <w:p w:rsidR="008926D0" w:rsidRDefault="008926D0" w:rsidP="008926D0">
      <w:pPr>
        <w:ind w:firstLineChars="200" w:firstLine="420"/>
        <w:jc w:val="left"/>
      </w:pPr>
      <w:r>
        <w:rPr>
          <w:rFonts w:hint="eastAsia"/>
        </w:rPr>
        <w:t>（一）社会消费品零售总额方面。一是社零基数大幅增加，截止目前，我县入库企业</w:t>
      </w:r>
      <w:r>
        <w:t>137</w:t>
      </w:r>
      <w:r>
        <w:t>家，其中零售企业</w:t>
      </w:r>
      <w:r>
        <w:t>89</w:t>
      </w:r>
      <w:r>
        <w:t>家，在库企业没有上报数据的有</w:t>
      </w:r>
      <w:r>
        <w:t>14</w:t>
      </w:r>
      <w:r>
        <w:t>家，如灵城茂润商贸，宏福商贸、冯庙亨通等，社零带基数</w:t>
      </w:r>
      <w:r>
        <w:t>0.18</w:t>
      </w:r>
      <w:r>
        <w:t>亿元。二是部分企业还存在报送数据顾虑，低数据报送严重影响数据增长。三是部分企业担心税收问题，存在顾虑纳统意愿较低。</w:t>
      </w:r>
    </w:p>
    <w:p w:rsidR="008926D0" w:rsidRDefault="008926D0" w:rsidP="008926D0">
      <w:pPr>
        <w:ind w:firstLineChars="200" w:firstLine="420"/>
        <w:jc w:val="left"/>
      </w:pPr>
      <w:r>
        <w:rPr>
          <w:rFonts w:hint="eastAsia"/>
        </w:rPr>
        <w:t>（二）外贸和利用外资方面。一是出口产品结构不优、有进出口实绩企业较少，安徽攀望科技、安徽百通达科技</w:t>
      </w:r>
      <w:r>
        <w:t>2</w:t>
      </w:r>
      <w:r>
        <w:t>家防疫物资出口企业因新冠全球大流行已经趋于结束，两家公司订单减少，出口锐减。二是利用外资发展空间不大。大多数非实际利用境外资金，直接利用外资项目储备不足，</w:t>
      </w:r>
      <w:r>
        <w:t>FDI</w:t>
      </w:r>
      <w:r>
        <w:t>数据支撑乏力，利用外资后劲不足。</w:t>
      </w:r>
    </w:p>
    <w:p w:rsidR="008926D0" w:rsidRDefault="008926D0" w:rsidP="008926D0">
      <w:pPr>
        <w:ind w:firstLineChars="200" w:firstLine="420"/>
        <w:jc w:val="left"/>
      </w:pPr>
      <w:r>
        <w:rPr>
          <w:rFonts w:hint="eastAsia"/>
        </w:rPr>
        <w:t>（三）电子商务方面。一是电商专业化复合型电商人才储备不足，电商队伍和从业人员相对较少，已经成为制约电商发展的最主要的瓶颈。二是产业层次有待提升，电商经营主体处在低水平的模仿阶段，缺乏有特色的拳头产品和主打产品，尚未形成规模效应和品牌效应</w:t>
      </w:r>
    </w:p>
    <w:p w:rsidR="008926D0" w:rsidRDefault="008926D0" w:rsidP="008926D0">
      <w:pPr>
        <w:ind w:firstLineChars="200" w:firstLine="420"/>
        <w:jc w:val="left"/>
      </w:pPr>
      <w:r>
        <w:rPr>
          <w:rFonts w:hint="eastAsia"/>
        </w:rPr>
        <w:t>四、下半年工作谋划</w:t>
      </w:r>
    </w:p>
    <w:p w:rsidR="008926D0" w:rsidRDefault="008926D0" w:rsidP="008926D0">
      <w:pPr>
        <w:ind w:firstLineChars="200" w:firstLine="420"/>
        <w:jc w:val="left"/>
      </w:pPr>
      <w:r>
        <w:rPr>
          <w:rFonts w:hint="eastAsia"/>
        </w:rPr>
        <w:t>（一）社会消费品零售总额方面，加快商贸经济主体的培育，加强政策指导，优化消费市场产业结构。推动商贸流通企业扩规模、提档次、调结构。指导乡镇做好商贸流通企业的规范引导和培育扶持力度，力争到年底完成新纳统“批零住餐”企业</w:t>
      </w:r>
      <w:r>
        <w:t>20</w:t>
      </w:r>
      <w:r>
        <w:t>家以上，进一步提高限额以上商贸企业对经济增长的贡献率。</w:t>
      </w:r>
    </w:p>
    <w:p w:rsidR="008926D0" w:rsidRDefault="008926D0" w:rsidP="008926D0">
      <w:pPr>
        <w:ind w:firstLineChars="200" w:firstLine="420"/>
        <w:jc w:val="left"/>
      </w:pPr>
      <w:r>
        <w:rPr>
          <w:rFonts w:hint="eastAsia"/>
        </w:rPr>
        <w:t>（二）深入挖掘外贸企业潜力，推动企业做优做强。一是培育和支持外贸主体。积极为企业争取中信保、中小开等国际市场开拓扶持政策资金的支持，二是积极拓展国际市场。支持外贸企业参加广交会、华交会、进博会等知名展会，鼓励外贸企业努力开拓国际新市场。三是全面摸排出口供货企业情况，全力做好转自营出口工作。引导备案登记企业，加快实现进出口零的突破。</w:t>
      </w:r>
    </w:p>
    <w:p w:rsidR="008926D0" w:rsidRDefault="008926D0" w:rsidP="008926D0">
      <w:pPr>
        <w:ind w:firstLineChars="200" w:firstLine="420"/>
        <w:jc w:val="left"/>
      </w:pPr>
      <w:r>
        <w:rPr>
          <w:rFonts w:hint="eastAsia"/>
        </w:rPr>
        <w:t>（三）加大利用外资项目建设力度。一是持续加大与招商部门的协调配合，紧盯外资项目，跟踪项目进度，加强项目进展困难的协调解决。加强各级外资发展促进政策的宣传，鼓励引导企业扩股增资。二是实施“走出去”战略，参加县政府组织的招商团队赴江浙沪等外资企业集中的地区拜访企业；三是采取以商引商的办法，招引已落户企业的关联外资企业。</w:t>
      </w:r>
    </w:p>
    <w:p w:rsidR="008926D0" w:rsidRDefault="008926D0" w:rsidP="008926D0">
      <w:pPr>
        <w:ind w:firstLineChars="200" w:firstLine="420"/>
        <w:jc w:val="left"/>
      </w:pPr>
      <w:r>
        <w:rPr>
          <w:rFonts w:hint="eastAsia"/>
        </w:rPr>
        <w:t>（四）深入推进电商产业发展。一是加大电商企业的招引力度，重点引进龙头型电商企业。二是针对各类不同主体，经常性地开展社交电商、直播销售、包装设计、营销策划等技能培训，做好跟踪孵化，发挥龙头企业带动作用，培育壮大电商队伍，做大网络零售总量。三是提升灵璧县电商公共服务中心服务质效，深入挖掘本地农特，组织电商企业参与产销对接，通过电商利益联结机制，促进产品上行。</w:t>
      </w:r>
    </w:p>
    <w:p w:rsidR="008926D0" w:rsidRDefault="008926D0" w:rsidP="008926D0">
      <w:pPr>
        <w:ind w:firstLineChars="200" w:firstLine="420"/>
        <w:jc w:val="left"/>
      </w:pPr>
      <w:r>
        <w:rPr>
          <w:rFonts w:hint="eastAsia"/>
        </w:rPr>
        <w:t>（五）暖民心行动。一是通过技能培训，提高家政人员素质；通过招引和孵化，壮大家政市场主体；依托商务部家政服务信用信息平台，优化家政发展环境，创新家政服务模式，实施服务质量提升行动，解决家政服务“不满意”“不好找”“不放心”“不省心”问题。二是按照“谁受益谁负责”的原则，切实落实管护责任，进一步加强菜市场日常管理，确保完成整治和改造提升任务</w:t>
      </w:r>
      <w:r>
        <w:t>6</w:t>
      </w:r>
      <w:r>
        <w:t>家菜市场做到</w:t>
      </w:r>
      <w:r>
        <w:t>“</w:t>
      </w:r>
      <w:r>
        <w:t>干净卫生、清洁明亮、管理有序</w:t>
      </w:r>
      <w:r>
        <w:t>”</w:t>
      </w:r>
      <w:r>
        <w:t>。</w:t>
      </w:r>
    </w:p>
    <w:p w:rsidR="008926D0" w:rsidRPr="003A08CA" w:rsidRDefault="008926D0" w:rsidP="008926D0">
      <w:pPr>
        <w:ind w:firstLineChars="200" w:firstLine="420"/>
        <w:jc w:val="right"/>
      </w:pPr>
      <w:r w:rsidRPr="003A08CA">
        <w:rPr>
          <w:rFonts w:hint="eastAsia"/>
        </w:rPr>
        <w:t>灵璧县商务局</w:t>
      </w:r>
      <w:r w:rsidRPr="003A08CA">
        <w:t>2023-06-28</w:t>
      </w:r>
    </w:p>
    <w:p w:rsidR="008926D0" w:rsidRDefault="008926D0" w:rsidP="00AB1EB7">
      <w:pPr>
        <w:sectPr w:rsidR="008926D0" w:rsidSect="00AB1EB7">
          <w:type w:val="continuous"/>
          <w:pgSz w:w="11906" w:h="16838"/>
          <w:pgMar w:top="1644" w:right="1236" w:bottom="1418" w:left="1814" w:header="851" w:footer="907" w:gutter="0"/>
          <w:pgNumType w:start="1"/>
          <w:cols w:space="720"/>
          <w:docGrid w:type="lines" w:linePitch="341" w:charSpace="2373"/>
        </w:sectPr>
      </w:pPr>
    </w:p>
    <w:p w:rsidR="003E781E" w:rsidRDefault="003E781E"/>
    <w:sectPr w:rsidR="003E78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926D0"/>
    <w:rsid w:val="003E781E"/>
    <w:rsid w:val="00892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26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926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Company>Microsoft</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2023-07-26T07:23:00Z</dcterms:created>
</cp:coreProperties>
</file>