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44A67" w:rsidRDefault="00844A67" w:rsidP="00C24539">
      <w:pPr>
        <w:pStyle w:val="1"/>
      </w:pPr>
      <w:r>
        <w:rPr>
          <w:rFonts w:hint="eastAsia"/>
        </w:rPr>
        <w:t>泰安市税务局党委书记、局长孙永祥：更好发挥税收职能作用</w:t>
      </w:r>
      <w:r>
        <w:t xml:space="preserve"> 更优服务经济社会高质量发展</w:t>
      </w:r>
    </w:p>
    <w:p w:rsidR="00844A67" w:rsidRDefault="00844A67" w:rsidP="00844A67">
      <w:pPr>
        <w:ind w:firstLineChars="200" w:firstLine="420"/>
      </w:pPr>
      <w:r>
        <w:t>18</w:t>
      </w:r>
      <w:r>
        <w:t>日，国家税务总局泰安市税务局党委书记、局长孙永祥参加《推动高质量发展一把手访谈》，回答主持人提问。</w:t>
      </w:r>
    </w:p>
    <w:p w:rsidR="00844A67" w:rsidRDefault="00844A67" w:rsidP="00C24539">
      <w:r>
        <w:rPr>
          <w:rFonts w:hint="eastAsia"/>
        </w:rPr>
        <w:t>一把手访谈</w:t>
      </w:r>
      <w:r>
        <w:t>1.jpg</w:t>
      </w:r>
    </w:p>
    <w:p w:rsidR="00844A67" w:rsidRDefault="00844A67" w:rsidP="00C24539">
      <w:r>
        <w:rPr>
          <w:rFonts w:hint="eastAsia"/>
        </w:rPr>
        <w:t xml:space="preserve">　　主持人：税收是重要的经济杠杆，对生产要素流动、经济增长和产业发展具有重要的促进作用，请问税务部门在参与新型工业化强市建设过程中，做了哪些方面的工作？</w:t>
      </w:r>
    </w:p>
    <w:p w:rsidR="00844A67" w:rsidRDefault="00844A67" w:rsidP="00C24539">
      <w:r>
        <w:rPr>
          <w:rFonts w:hint="eastAsia"/>
        </w:rPr>
        <w:t xml:space="preserve">　　孙永祥：我们立足税收在经济治理中的基础性、支柱性、保障性作用，为新型工业化强市建设赋能添力。一是以专员专班靠上发力，全方位支持新型工业化强市建设。成立咨询服务专员专班，全系统</w:t>
      </w:r>
      <w:r>
        <w:t>215</w:t>
      </w:r>
      <w:r>
        <w:t>名业务骨干随时待命，向链上企业提供税费政策支持和疑难问题处理</w:t>
      </w:r>
      <w:r>
        <w:t>“</w:t>
      </w:r>
      <w:r>
        <w:t>一揽子</w:t>
      </w:r>
      <w:r>
        <w:t>”</w:t>
      </w:r>
      <w:r>
        <w:t>解决方案，搭建起了</w:t>
      </w:r>
      <w:r>
        <w:t>“</w:t>
      </w:r>
      <w:r>
        <w:t>政策研究＋宣传辅导＋效应分析＋建议反馈</w:t>
      </w:r>
      <w:r>
        <w:t>”</w:t>
      </w:r>
      <w:r>
        <w:t>的政策落实闭环，实现了对</w:t>
      </w:r>
      <w:r>
        <w:t>13</w:t>
      </w:r>
      <w:r>
        <w:t>条产业链的</w:t>
      </w:r>
      <w:r>
        <w:t>“</w:t>
      </w:r>
      <w:r>
        <w:t>一链式</w:t>
      </w:r>
      <w:r>
        <w:t>”</w:t>
      </w:r>
      <w:r>
        <w:t>服务。持续开展</w:t>
      </w:r>
      <w:r>
        <w:t>“</w:t>
      </w:r>
      <w:r>
        <w:t>订单式</w:t>
      </w:r>
      <w:r>
        <w:t>”</w:t>
      </w:r>
      <w:r>
        <w:t>产业链政策培训，提供集中讲解和上门咨询服务，累计解决各类涉税问题</w:t>
      </w:r>
      <w:r>
        <w:t>600</w:t>
      </w:r>
      <w:r>
        <w:t>余个。二是以税费政策精准落实，深层次助推产业转型升级。组</w:t>
      </w:r>
      <w:r>
        <w:rPr>
          <w:rFonts w:hint="eastAsia"/>
        </w:rPr>
        <w:t>建税费优惠政策落实领导小组，持续优化政策标签推送、优惠直达快享工作机制。创新“税珍珠”数据分析算法，建立减税降费指数体系，确保减税降费政策的精细精准落实。税费政策红利直达快享，有效激发了企业科技创新潜力，使科研创新成果加速落地。三是以高质量税收经济分析，多维度提供以税资政建议。深化“税比析”理念，积极对接新型工业化强市建设及现代服务业高质量发展“双赋能”部署，充分挖掘税收大数据“金山银矿”，开展政策效应评估分析，及时为市委、市政府提供高质量“以税咨政”。《透过增值税留抵退税看我市经济发展》等</w:t>
      </w:r>
      <w:r>
        <w:t>20</w:t>
      </w:r>
      <w:r>
        <w:t>余篇分析报告</w:t>
      </w:r>
      <w:r>
        <w:rPr>
          <w:rFonts w:hint="eastAsia"/>
        </w:rPr>
        <w:t>，从税收视角提出了优化产业结构、产业配套、产销供需的资政意见建议</w:t>
      </w:r>
      <w:r>
        <w:t>40</w:t>
      </w:r>
      <w:r>
        <w:t>多个。</w:t>
      </w:r>
    </w:p>
    <w:p w:rsidR="00844A67" w:rsidRDefault="00844A67" w:rsidP="00C24539">
      <w:r>
        <w:rPr>
          <w:rFonts w:hint="eastAsia"/>
        </w:rPr>
        <w:t xml:space="preserve">　　主持人：构建优质的税收营商环境是优化整体营商环境的重要组成部分，也是服务经济社会高质量发展的必然要求，请问在优化营商环境方面，税务部门都有哪些具体措施？</w:t>
      </w:r>
    </w:p>
    <w:p w:rsidR="00844A67" w:rsidRDefault="00844A67" w:rsidP="00C24539">
      <w:r>
        <w:rPr>
          <w:rFonts w:hint="eastAsia"/>
        </w:rPr>
        <w:t xml:space="preserve">　　孙永祥：我们聚焦纳税人缴费人所需所盼，推动诉求响应提质、政策落实提效、精细服务提档、智能办税提速、精简流程提级、规范执法提升。一是高站位开展春风行动。以“办好惠民事·服务现代化”为主题，连续第</w:t>
      </w:r>
      <w:r>
        <w:t>10</w:t>
      </w:r>
      <w:r>
        <w:t>年开展</w:t>
      </w:r>
      <w:r>
        <w:t>“</w:t>
      </w:r>
      <w:r>
        <w:t>便民办税春风行动</w:t>
      </w:r>
      <w:r>
        <w:t>”</w:t>
      </w:r>
      <w:r>
        <w:t>，推出</w:t>
      </w:r>
      <w:r>
        <w:t>6</w:t>
      </w:r>
      <w:r>
        <w:t>方面</w:t>
      </w:r>
      <w:r>
        <w:t>81</w:t>
      </w:r>
      <w:r>
        <w:t>条便民办税缴费措施。推动税费服务从线下为主向线上线下并重转变，</w:t>
      </w:r>
      <w:r>
        <w:t>“</w:t>
      </w:r>
      <w:r>
        <w:t>非接触式</w:t>
      </w:r>
      <w:r>
        <w:t>”</w:t>
      </w:r>
      <w:r>
        <w:t>事项范围拓展至</w:t>
      </w:r>
      <w:r>
        <w:t>233</w:t>
      </w:r>
      <w:r>
        <w:t>项，涵盖全部主要办税缴费事项，企业社保缴费全面实现</w:t>
      </w:r>
      <w:r>
        <w:t>“</w:t>
      </w:r>
      <w:r>
        <w:t>网上办</w:t>
      </w:r>
      <w:r>
        <w:t>”</w:t>
      </w:r>
      <w:r>
        <w:t>，个人社保缴费基本实现</w:t>
      </w:r>
      <w:r>
        <w:t>“</w:t>
      </w:r>
      <w:r>
        <w:t>掌上办</w:t>
      </w:r>
      <w:r>
        <w:t>”</w:t>
      </w:r>
      <w:r>
        <w:t>。十年来，</w:t>
      </w:r>
      <w:r>
        <w:t>“</w:t>
      </w:r>
      <w:r>
        <w:t>便民办税春风行动</w:t>
      </w:r>
      <w:r>
        <w:t>”</w:t>
      </w:r>
      <w:r>
        <w:t>共推出</w:t>
      </w:r>
      <w:r>
        <w:t>620</w:t>
      </w:r>
      <w:r>
        <w:t>项惠企便民举措。二是高标准打造智慧税务。聚</w:t>
      </w:r>
      <w:r>
        <w:rPr>
          <w:rFonts w:hint="eastAsia"/>
        </w:rPr>
        <w:t>焦税收征管数字化转型，建设智慧税务平台，实现税收征管一体化融合升级，推动基层税源管理单位“纳税人之家”建设扩围升级，打造“线下服务无死角、线上服务不打烊、定制服务广覆盖”的税费服务体系。深度挖掘税收大数据在办税缴费中的价值，构建智能、多元、便捷的管理和服务机制，探索建设</w:t>
      </w:r>
      <w:r>
        <w:t>e-tax</w:t>
      </w:r>
      <w:r>
        <w:t>中心，打造税费服务综合</w:t>
      </w:r>
      <w:r>
        <w:t>“</w:t>
      </w:r>
      <w:r>
        <w:t>后台</w:t>
      </w:r>
      <w:r>
        <w:t>”</w:t>
      </w:r>
      <w:r>
        <w:t>，推出</w:t>
      </w:r>
      <w:r>
        <w:t>“</w:t>
      </w:r>
      <w:r>
        <w:t>帮办、联办、协办</w:t>
      </w:r>
      <w:r>
        <w:t>”</w:t>
      </w:r>
      <w:r>
        <w:t>服务模式，构建起了</w:t>
      </w:r>
      <w:r>
        <w:t>“</w:t>
      </w:r>
      <w:r>
        <w:t>智慧办税</w:t>
      </w:r>
      <w:r>
        <w:t>”</w:t>
      </w:r>
      <w:r>
        <w:t>新场景。三是高水平优化税费服务。建立直联问需税企共建交流机制，开展</w:t>
      </w:r>
      <w:r>
        <w:t>“</w:t>
      </w:r>
      <w:r>
        <w:t>春风入万企问需解难题</w:t>
      </w:r>
      <w:r>
        <w:t>”</w:t>
      </w:r>
      <w:r>
        <w:t>大走访大调研活动，确定</w:t>
      </w:r>
      <w:r>
        <w:t>42</w:t>
      </w:r>
      <w:r>
        <w:t>户直联企业，成立直联服务团队，</w:t>
      </w:r>
      <w:r>
        <w:rPr>
          <w:rFonts w:hint="eastAsia"/>
        </w:rPr>
        <w:t>深入泰山城建集团等企业开展共建活动</w:t>
      </w:r>
      <w:r>
        <w:t>14</w:t>
      </w:r>
      <w:r>
        <w:t>次，收集需求</w:t>
      </w:r>
      <w:r>
        <w:t>41</w:t>
      </w:r>
      <w:r>
        <w:t>项，解决各类问题</w:t>
      </w:r>
      <w:r>
        <w:t>39</w:t>
      </w:r>
      <w:r>
        <w:t>个。建设全省首家规范化、实体化</w:t>
      </w:r>
      <w:r>
        <w:t>“</w:t>
      </w:r>
      <w:r>
        <w:t>一带一路</w:t>
      </w:r>
      <w:r>
        <w:t>‘</w:t>
      </w:r>
      <w:r>
        <w:t>税之家</w:t>
      </w:r>
      <w:r>
        <w:t>’”</w:t>
      </w:r>
      <w:r>
        <w:t>服务场所，推出线上办、多元办、特别办等</w:t>
      </w:r>
      <w:r>
        <w:t>10</w:t>
      </w:r>
      <w:r>
        <w:t>项服务承诺，为构筑产业发展新高地提供优质税费服务，仅外商再投资递延纳税优惠一项就释放政策红利</w:t>
      </w:r>
      <w:r>
        <w:t>8500</w:t>
      </w:r>
      <w:r>
        <w:t>余万元，累计吸引境外投资泰</w:t>
      </w:r>
      <w:r>
        <w:lastRenderedPageBreak/>
        <w:t>安</w:t>
      </w:r>
      <w:r>
        <w:t>8.57</w:t>
      </w:r>
      <w:r>
        <w:t>亿元。</w:t>
      </w:r>
    </w:p>
    <w:p w:rsidR="00844A67" w:rsidRDefault="00844A67" w:rsidP="00C24539">
      <w:r>
        <w:rPr>
          <w:rFonts w:hint="eastAsia"/>
        </w:rPr>
        <w:t>一把手访谈</w:t>
      </w:r>
      <w:r>
        <w:t>2.jpg</w:t>
      </w:r>
    </w:p>
    <w:p w:rsidR="00844A67" w:rsidRDefault="00844A67" w:rsidP="00C24539">
      <w:r>
        <w:rPr>
          <w:rFonts w:hint="eastAsia"/>
        </w:rPr>
        <w:t xml:space="preserve">　　主持人：在加快构建新发展格局的背景下，深化税收征管改革意义深远，请问在落实税收征管改革任务方面，税务部门都有哪些创新做法？</w:t>
      </w:r>
    </w:p>
    <w:p w:rsidR="00844A67" w:rsidRDefault="00844A67" w:rsidP="00C24539">
      <w:pPr>
        <w:ind w:firstLine="420"/>
      </w:pPr>
      <w:r>
        <w:rPr>
          <w:rFonts w:hint="eastAsia"/>
        </w:rPr>
        <w:t>孙永祥：我们始终以深化税收征管改革为牵引，用改革的办法、创新的手段，破解制约征管质效提升的难题。一是创新监控平台提升征管质效。强化要素保障、推进系统集成，建设税费征管质量监控分析中心，不断拓展数据质量检测、征管质量监控评价等系统应用，构建起了“动态监控、定期评价、推送整改、限时反馈”四位一体征管质量监督体系，各项征管指标数据全省排名显著提升。二是创新行业管理，提升收入质量。做深做实行业税收监管大课题，先后研究建立住宿、建安、苗木等行业监管模板，定期开展数据比对分析，梳理管理风险疑点，搭建起了“信用</w:t>
      </w:r>
      <w:r>
        <w:t>+</w:t>
      </w:r>
      <w:r>
        <w:t>风险</w:t>
      </w:r>
      <w:r>
        <w:rPr>
          <w:rFonts w:hint="eastAsia"/>
        </w:rPr>
        <w:t>”监管为基础的税务监管模式，基本建成了“无风险不打扰、有违法要追究、全过程强智控”的税务执法新体系。三是创新联动协同提升共治水平。着眼打造税收大共治格局，与财政、人社、自然资源、商务、发改等部门建立规范化工作会商机制，定期共享各类信息数据，已累计采集数据</w:t>
      </w:r>
      <w:r>
        <w:t>1142</w:t>
      </w:r>
      <w:r>
        <w:t>万条，加工处理</w:t>
      </w:r>
      <w:r>
        <w:t>64</w:t>
      </w:r>
      <w:r>
        <w:t>批、</w:t>
      </w:r>
      <w:r>
        <w:t>625</w:t>
      </w:r>
      <w:r>
        <w:t>万条，构建涉税信息</w:t>
      </w:r>
      <w:r>
        <w:t>“</w:t>
      </w:r>
      <w:r>
        <w:t>数据仓</w:t>
      </w:r>
      <w:r>
        <w:t>”</w:t>
      </w:r>
      <w:r>
        <w:t>，夯实了</w:t>
      </w:r>
      <w:r>
        <w:t>“</w:t>
      </w:r>
      <w:r>
        <w:t>以数治税</w:t>
      </w:r>
      <w:r>
        <w:t>”</w:t>
      </w:r>
      <w:r>
        <w:t>基础。充分发挥大数据赋能税收管理作用，强化数据比对分析，综合利用风险提醒、跨区域协作、税务稽查等方式强化日常征收管理，实现了精准监管、精诚共治。</w:t>
      </w:r>
    </w:p>
    <w:p w:rsidR="00844A67" w:rsidRDefault="00844A67" w:rsidP="00C24539">
      <w:pPr>
        <w:ind w:firstLine="420"/>
        <w:jc w:val="right"/>
      </w:pPr>
      <w:r w:rsidRPr="00C24539">
        <w:rPr>
          <w:rFonts w:hint="eastAsia"/>
        </w:rPr>
        <w:t>最泰安</w:t>
      </w:r>
      <w:r>
        <w:rPr>
          <w:rFonts w:hint="eastAsia"/>
        </w:rPr>
        <w:t xml:space="preserve"> 2023-7-20</w:t>
      </w:r>
    </w:p>
    <w:p w:rsidR="00844A67" w:rsidRDefault="00844A67" w:rsidP="00947FFE">
      <w:pPr>
        <w:sectPr w:rsidR="00844A67" w:rsidSect="00947FF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05057" w:rsidRDefault="00B05057"/>
    <w:sectPr w:rsidR="00B0505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844A67"/>
    <w:rsid w:val="00844A67"/>
    <w:rsid w:val="00B050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44A6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844A6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308</Words>
  <Characters>1758</Characters>
  <Application>Microsoft Office Word</Application>
  <DocSecurity>0</DocSecurity>
  <Lines>14</Lines>
  <Paragraphs>4</Paragraphs>
  <ScaleCrop>false</ScaleCrop>
  <Company>Microsoft</Company>
  <LinksUpToDate>false</LinksUpToDate>
  <CharactersWithSpaces>2062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2023-07-26T08:23:00Z</dcterms:created>
</cp:coreProperties>
</file>