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8B8" w:rsidRDefault="00C318B8" w:rsidP="00DA7CBB">
      <w:pPr>
        <w:pStyle w:val="1"/>
      </w:pPr>
      <w:r w:rsidRPr="00DA7CBB">
        <w:rPr>
          <w:rFonts w:hint="eastAsia"/>
        </w:rPr>
        <w:t>温江区审计局以“三全”工作法推动经济责任审计高质量发展</w:t>
      </w:r>
    </w:p>
    <w:p w:rsidR="00C318B8" w:rsidRDefault="00C318B8" w:rsidP="00C318B8">
      <w:pPr>
        <w:ind w:firstLineChars="200" w:firstLine="420"/>
      </w:pPr>
      <w:r>
        <w:rPr>
          <w:rFonts w:hint="eastAsia"/>
        </w:rPr>
        <w:t>近年来，四川省成都市温江区审计局不断深化对领导干部的审计监督，有效发挥经济责任审计在促进干部履职尽责、加强干部监督管理、推进党风廉政建设、服务区域经济社会健康发展等方面的职能作用。</w:t>
      </w:r>
    </w:p>
    <w:p w:rsidR="00C318B8" w:rsidRDefault="00C318B8" w:rsidP="00C318B8">
      <w:pPr>
        <w:ind w:firstLineChars="200" w:firstLine="420"/>
      </w:pPr>
      <w:r>
        <w:rPr>
          <w:rFonts w:hint="eastAsia"/>
        </w:rPr>
        <w:t>全局性谋划，推进审计全覆盖。聚焦权力运行和责任落实两条主线，将</w:t>
      </w:r>
      <w:r>
        <w:t>200</w:t>
      </w:r>
      <w:r>
        <w:t>余个一二级预算单位按照管理资产资源规模、工作重要性程度等因素划分为</w:t>
      </w:r>
      <w:r>
        <w:t>ABCD</w:t>
      </w:r>
      <w:r>
        <w:t>四类，针对不同类型被审计对象，结合工作职责和重点难点事项确定审计内容，实现精准谋划、精准审计、精准画像。近年来开展的领导干部经济责任审计项目，查处纠正违纪违规或管理不规范等问题金额累计</w:t>
      </w:r>
      <w:r>
        <w:t>1.7</w:t>
      </w:r>
      <w:r>
        <w:t>亿元，促进增收节支和挽回损失浪费</w:t>
      </w:r>
      <w:r>
        <w:t>8000</w:t>
      </w:r>
      <w:r>
        <w:t>余万元，其中</w:t>
      </w:r>
      <w:r>
        <w:t>4</w:t>
      </w:r>
      <w:r>
        <w:t>个项目被评为审计厅或市审计局优秀审计项目。</w:t>
      </w:r>
    </w:p>
    <w:p w:rsidR="00C318B8" w:rsidRDefault="00C318B8" w:rsidP="00C318B8">
      <w:pPr>
        <w:ind w:firstLineChars="200" w:firstLine="420"/>
      </w:pPr>
      <w:r>
        <w:rPr>
          <w:rFonts w:hint="eastAsia"/>
        </w:rPr>
        <w:t>全流程管理，把牢质量“生命线”。做好审前“必修课”，分类别分行业组织学习审计作业标准、经济责任审计操作指南以及被审计单位相关法规制度，为规范高效开展审计打下坚实基础。做好审中“常修课”，修订《审计现场管理办法》，出台审计业务管理制度、审计整改认定标准、审计移送处理办法等，梳理形成</w:t>
      </w:r>
      <w:r>
        <w:t>10</w:t>
      </w:r>
      <w:r>
        <w:t>大类</w:t>
      </w:r>
      <w:r>
        <w:t>60</w:t>
      </w:r>
      <w:r>
        <w:t>余条审理常见问题提示清单，严格落实审计质量分级控制制度，提升规范化水平。做好审后</w:t>
      </w:r>
      <w:r>
        <w:t>“</w:t>
      </w:r>
      <w:r>
        <w:t>提升课</w:t>
      </w:r>
      <w:r>
        <w:t>”</w:t>
      </w:r>
      <w:r>
        <w:t>，围绕审计发现的普遍共性问题和体制机制漏洞，推动出台工程项目管理、财政资金管理等制度文件</w:t>
      </w:r>
      <w:r>
        <w:t>12</w:t>
      </w:r>
      <w:r>
        <w:t>项；出台《领导干部履职风险预警提示清单</w:t>
      </w:r>
      <w:r>
        <w:rPr>
          <w:rFonts w:hint="eastAsia"/>
        </w:rPr>
        <w:t>》，归集</w:t>
      </w:r>
      <w:r>
        <w:t>6</w:t>
      </w:r>
      <w:r>
        <w:t>方面</w:t>
      </w:r>
      <w:r>
        <w:t>16</w:t>
      </w:r>
      <w:r>
        <w:t>大类</w:t>
      </w:r>
      <w:r>
        <w:t>57</w:t>
      </w:r>
      <w:r>
        <w:t>个重点领域的履职风险点，切实发挥预警提示作用。</w:t>
      </w:r>
    </w:p>
    <w:p w:rsidR="00C318B8" w:rsidRDefault="00C318B8" w:rsidP="00C318B8">
      <w:pPr>
        <w:ind w:firstLineChars="200" w:firstLine="420"/>
      </w:pPr>
      <w:r>
        <w:rPr>
          <w:rFonts w:hint="eastAsia"/>
        </w:rPr>
        <w:t>全方位研究，注入发展新动能。积极探索建立研究型审计工作机制，沿着“政治</w:t>
      </w:r>
      <w:r>
        <w:t>-</w:t>
      </w:r>
      <w:r>
        <w:t>政策</w:t>
      </w:r>
      <w:r>
        <w:t>-</w:t>
      </w:r>
      <w:r>
        <w:t>项目</w:t>
      </w:r>
      <w:r>
        <w:t>-</w:t>
      </w:r>
      <w:r>
        <w:t>资金</w:t>
      </w:r>
      <w:r>
        <w:t>”</w:t>
      </w:r>
      <w:r>
        <w:t>主线，加强对审计对象、行业特点、监督重点的深入研究。围绕规范审计高效实施，研究出台《审计查出问题整改工作暂行办法》，推动审计整改工作规范化、程序化；围绕营造良好干事氛围，研究出台《审计发现问题容错纠错实施办法》，进一步划清失误与失职、敢为与乱为、为公与徇私的界限，调动和激发广大干部干事创业的积极性、主动性；围绕推动地方良性治理，牵头出台《温江区重大经济事项决策规定实施细则》，促进区委、区政府修订决策制度，促使各单位完善</w:t>
      </w:r>
      <w:r>
        <w:rPr>
          <w:rFonts w:hint="eastAsia"/>
        </w:rPr>
        <w:t>“三重一大”决策机制，推动构建权责边界清晰、运转高效有序的决策机制体系。</w:t>
      </w:r>
    </w:p>
    <w:p w:rsidR="00C318B8" w:rsidRDefault="00C318B8" w:rsidP="00DA7CBB">
      <w:pPr>
        <w:jc w:val="right"/>
      </w:pPr>
      <w:r w:rsidRPr="00DA7CBB">
        <w:rPr>
          <w:rFonts w:hint="eastAsia"/>
        </w:rPr>
        <w:t>温江区审计局</w:t>
      </w:r>
      <w:r>
        <w:rPr>
          <w:rFonts w:hint="eastAsia"/>
        </w:rPr>
        <w:t>2023-7-6</w:t>
      </w:r>
    </w:p>
    <w:p w:rsidR="00C318B8" w:rsidRDefault="00C318B8" w:rsidP="00EC18B9">
      <w:pPr>
        <w:sectPr w:rsidR="00C318B8" w:rsidSect="00EC18B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1AA8" w:rsidRDefault="006A1AA8"/>
    <w:sectPr w:rsidR="006A1A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18B8"/>
    <w:rsid w:val="006A1AA8"/>
    <w:rsid w:val="00C31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18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318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>Microsoft</Company>
  <LinksUpToDate>false</LinksUpToDate>
  <CharactersWithSpaces>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2023-07-13T07:35:00Z</dcterms:created>
</cp:coreProperties>
</file>