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320" w:rsidRDefault="00957320" w:rsidP="00D41E8F">
      <w:pPr>
        <w:pStyle w:val="1"/>
      </w:pPr>
      <w:r w:rsidRPr="00D41E8F">
        <w:rPr>
          <w:rFonts w:hint="eastAsia"/>
        </w:rPr>
        <w:t>甘肃省临泽县市场监管局多点发力推动特种设备安全形势稳定向好</w:t>
      </w:r>
    </w:p>
    <w:p w:rsidR="00957320" w:rsidRDefault="00957320" w:rsidP="00957320">
      <w:pPr>
        <w:ind w:firstLineChars="200" w:firstLine="420"/>
      </w:pPr>
      <w:r>
        <w:rPr>
          <w:rFonts w:hint="eastAsia"/>
        </w:rPr>
        <w:t>甘肃省临泽县市场监管局以降低事故风险、提高安全效能为出发点，持续发力打基础，紧盯安全抓预防</w:t>
      </w:r>
      <w:r>
        <w:t>,</w:t>
      </w:r>
      <w:r>
        <w:t>主动破题抓创新，全面推动</w:t>
      </w:r>
      <w:r>
        <w:t>“</w:t>
      </w:r>
      <w:r>
        <w:t>两个规定</w:t>
      </w:r>
      <w:r>
        <w:t>”</w:t>
      </w:r>
      <w:r>
        <w:t>落实，多措护航特种设备安全。</w:t>
      </w:r>
    </w:p>
    <w:p w:rsidR="00957320" w:rsidRDefault="00957320" w:rsidP="00957320">
      <w:pPr>
        <w:ind w:firstLineChars="200" w:firstLine="420"/>
      </w:pPr>
      <w:r>
        <w:rPr>
          <w:rFonts w:hint="eastAsia"/>
        </w:rPr>
        <w:t>切实织密监管网络，落实安全主体责任。坚持“抓生产必须抓安全，抓安全首先查隐患”原则，主要领导多次调研指导和督导检查特种设备监管、燃气安全排查工作，专题会议研究解决制约特种设备高质量发展的突出瓶颈问题；调整充实特种设备安全领导机构，推行市、县、所三级特种设备监管责任包干制度，对</w:t>
      </w:r>
      <w:r>
        <w:t>68</w:t>
      </w:r>
      <w:r>
        <w:t>家重点单位和</w:t>
      </w:r>
      <w:r>
        <w:t>110</w:t>
      </w:r>
      <w:r>
        <w:t>家一般单位划分为</w:t>
      </w:r>
      <w:r>
        <w:t>7</w:t>
      </w:r>
      <w:r>
        <w:t>个网格，确定</w:t>
      </w:r>
      <w:r>
        <w:t>14</w:t>
      </w:r>
      <w:r>
        <w:t>名包点干部，构筑</w:t>
      </w:r>
      <w:r>
        <w:t>“</w:t>
      </w:r>
      <w:r>
        <w:t>横向到边、纵向到底</w:t>
      </w:r>
      <w:r>
        <w:t>”</w:t>
      </w:r>
      <w:r>
        <w:t>的安全防控责任网。</w:t>
      </w:r>
    </w:p>
    <w:p w:rsidR="00957320" w:rsidRDefault="00957320" w:rsidP="00957320">
      <w:pPr>
        <w:ind w:firstLineChars="200" w:firstLine="420"/>
      </w:pPr>
      <w:r>
        <w:rPr>
          <w:rFonts w:hint="eastAsia"/>
        </w:rPr>
        <w:t>全面落实“两个规定”，扛稳抓牢主体责任。持续构建双重预防机制，落实特种设备安全责任制和承诺制，分类分层召开“两个规定”宣贯会议，督促企业按时配齐安全总监、安全员，制订风险管控清单，实施日管控、周排查、月调度，做到制度上墙，台账齐全，将责任细化分解到具体岗位、具体人，多重布控、协同发力，把本部门本岗位作为风险防范“最后一道关口”，通过建立末端发力、终端见效的长效机制，把压力传导到一线，将责任落实到人头，推动企业主动加强安全管理，落实风险隐患治理责任，确保设备运行安全。</w:t>
      </w:r>
    </w:p>
    <w:p w:rsidR="00957320" w:rsidRDefault="00957320" w:rsidP="00957320">
      <w:pPr>
        <w:ind w:firstLineChars="200" w:firstLine="420"/>
      </w:pPr>
      <w:r>
        <w:rPr>
          <w:rFonts w:hint="eastAsia"/>
        </w:rPr>
        <w:t>多点发力纵深推进，提升电梯本质安全。扎实开展</w:t>
      </w:r>
      <w:r>
        <w:t>2023</w:t>
      </w:r>
      <w:r>
        <w:t>年电梯安全专项整治行动，持续推进电梯标准化建设，建立电梯维保周期公示制度，对维保作业实施全程监督，实现电梯维保与监察同行，质量与安全同步，切实降低电梯困人率，推动电梯日常管理、维护保养、应急演练标准化、规范化。同时，扩大电梯商业保险投保覆盖面，落实电梯责任保险</w:t>
      </w:r>
      <w:r>
        <w:t>465</w:t>
      </w:r>
      <w:r>
        <w:t>部覆盖率</w:t>
      </w:r>
      <w:r>
        <w:t>83.7%</w:t>
      </w:r>
      <w:r>
        <w:t>，充分发挥了保险机制在事故预防、使用管理中的良性推进作用。</w:t>
      </w:r>
    </w:p>
    <w:p w:rsidR="00957320" w:rsidRDefault="00957320" w:rsidP="00957320">
      <w:pPr>
        <w:ind w:firstLineChars="200" w:firstLine="420"/>
      </w:pPr>
      <w:r>
        <w:rPr>
          <w:rFonts w:hint="eastAsia"/>
        </w:rPr>
        <w:t>聚焦隐患排查治理，筑牢特设安全防线。立足重大事故隐患专项排查整治</w:t>
      </w:r>
      <w:r>
        <w:t>2023</w:t>
      </w:r>
      <w:r>
        <w:t>行动，以当前暴露的安全漏洞、监管盲区为重点领域，深入开展涉</w:t>
      </w:r>
      <w:r>
        <w:t>“</w:t>
      </w:r>
      <w:r>
        <w:t>特</w:t>
      </w:r>
      <w:r>
        <w:t>”</w:t>
      </w:r>
      <w:r>
        <w:t>领域安全隐患排查治理，充分发动企业自查，全面摸清动态掌握重大事故隐患的底数，对症下猛药，重点抓整改。依托监管平台的隐患预警和智能分析功能，随时对特种设备进行平台巡查和现场检查，狠抓隐患排查、整治、销号各环节管理，闭环整改安全隐患</w:t>
      </w:r>
      <w:r>
        <w:t>126</w:t>
      </w:r>
      <w:r>
        <w:t>条。综合应用</w:t>
      </w:r>
      <w:r>
        <w:t>“</w:t>
      </w:r>
      <w:r>
        <w:t>线上监测</w:t>
      </w:r>
      <w:r>
        <w:t>”</w:t>
      </w:r>
      <w:r>
        <w:t>与</w:t>
      </w:r>
      <w:r>
        <w:t>“</w:t>
      </w:r>
      <w:r>
        <w:t>线下检查</w:t>
      </w:r>
      <w:r>
        <w:t>”</w:t>
      </w:r>
      <w:r>
        <w:t>，对特种设备实施精准科学、靶向高效监管，隐患持续动态</w:t>
      </w:r>
      <w:r>
        <w:t>“</w:t>
      </w:r>
      <w:r>
        <w:t>清零</w:t>
      </w:r>
      <w:r>
        <w:t>”</w:t>
      </w:r>
      <w:r>
        <w:t>。</w:t>
      </w:r>
    </w:p>
    <w:p w:rsidR="00957320" w:rsidRPr="00D41E8F" w:rsidRDefault="00957320" w:rsidP="00D41E8F">
      <w:pPr>
        <w:jc w:val="right"/>
      </w:pPr>
      <w:r w:rsidRPr="00D41E8F">
        <w:t>中国质量新闻网</w:t>
      </w:r>
      <w:r>
        <w:rPr>
          <w:rFonts w:hint="eastAsia"/>
        </w:rPr>
        <w:t>2023-7-11</w:t>
      </w:r>
    </w:p>
    <w:p w:rsidR="00957320" w:rsidRDefault="00957320" w:rsidP="006A3928">
      <w:pPr>
        <w:sectPr w:rsidR="00957320" w:rsidSect="006A39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6527" w:rsidRDefault="00EC6527"/>
    <w:sectPr w:rsidR="00EC65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7320"/>
    <w:rsid w:val="00957320"/>
    <w:rsid w:val="00EC6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73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732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845</Characters>
  <Application>Microsoft Office Word</Application>
  <DocSecurity>0</DocSecurity>
  <Lines>7</Lines>
  <Paragraphs>1</Paragraphs>
  <ScaleCrop>false</ScaleCrop>
  <Company>Microsoft</Company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2023-07-13T07:50:00Z</dcterms:created>
</cp:coreProperties>
</file>